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1D00D2" w14:textId="57BA873B" w:rsidR="00D077E9" w:rsidRDefault="001F4EC8" w:rsidP="00D70D02">
      <w:r>
        <w:rPr>
          <w:noProof/>
        </w:rPr>
        <w:drawing>
          <wp:anchor distT="0" distB="0" distL="114300" distR="114300" simplePos="0" relativeHeight="251679232" behindDoc="0" locked="0" layoutInCell="1" allowOverlap="1" wp14:anchorId="64D93CDC" wp14:editId="7EDC0321">
            <wp:simplePos x="0" y="0"/>
            <wp:positionH relativeFrom="column">
              <wp:posOffset>-85090</wp:posOffset>
            </wp:positionH>
            <wp:positionV relativeFrom="paragraph">
              <wp:posOffset>1760855</wp:posOffset>
            </wp:positionV>
            <wp:extent cx="2570480" cy="2499360"/>
            <wp:effectExtent l="0" t="0" r="1270" b="0"/>
            <wp:wrapSquare wrapText="bothSides"/>
            <wp:docPr id="8" name="Picture 8" descr="A baby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eneyP 2005(01-05) pic#1[at home in red dres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70480" cy="2499360"/>
                    </a:xfrm>
                    <a:prstGeom prst="rect">
                      <a:avLst/>
                    </a:prstGeom>
                  </pic:spPr>
                </pic:pic>
              </a:graphicData>
            </a:graphic>
            <wp14:sizeRelH relativeFrom="margin">
              <wp14:pctWidth>0</wp14:pctWidth>
            </wp14:sizeRelH>
            <wp14:sizeRelV relativeFrom="margin">
              <wp14:pctHeight>0</wp14:pctHeight>
            </wp14:sizeRelV>
          </wp:anchor>
        </w:drawing>
      </w:r>
      <w:r w:rsidR="0094116E">
        <w:rPr>
          <w:noProof/>
        </w:rPr>
        <mc:AlternateContent>
          <mc:Choice Requires="wps">
            <w:drawing>
              <wp:anchor distT="45720" distB="45720" distL="114300" distR="114300" simplePos="0" relativeHeight="251668992" behindDoc="0" locked="0" layoutInCell="1" allowOverlap="1" wp14:anchorId="7867F9B6" wp14:editId="5628D2E4">
                <wp:simplePos x="0" y="0"/>
                <wp:positionH relativeFrom="margin">
                  <wp:align>left</wp:align>
                </wp:positionH>
                <wp:positionV relativeFrom="paragraph">
                  <wp:posOffset>12700</wp:posOffset>
                </wp:positionV>
                <wp:extent cx="6718300" cy="1404620"/>
                <wp:effectExtent l="0" t="0" r="2540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1404620"/>
                        </a:xfrm>
                        <a:prstGeom prst="rect">
                          <a:avLst/>
                        </a:prstGeom>
                        <a:solidFill>
                          <a:srgbClr val="FFFFFF"/>
                        </a:solidFill>
                        <a:ln w="9525">
                          <a:solidFill>
                            <a:srgbClr val="000000"/>
                          </a:solidFill>
                          <a:miter lim="800000"/>
                          <a:headEnd/>
                          <a:tailEnd/>
                        </a:ln>
                      </wps:spPr>
                      <wps:txbx>
                        <w:txbxContent>
                          <w:p w14:paraId="4992C747" w14:textId="77777777" w:rsidR="00DD39EA" w:rsidRPr="00DD39EA" w:rsidRDefault="00DD39EA" w:rsidP="00DD39EA">
                            <w:pPr>
                              <w:spacing w:after="200"/>
                              <w:jc w:val="center"/>
                              <w:rPr>
                                <w:rFonts w:ascii="Calibri" w:eastAsia="Calibri" w:hAnsi="Calibri" w:cs="Times New Roman"/>
                                <w:color w:val="auto"/>
                                <w:sz w:val="36"/>
                                <w:szCs w:val="32"/>
                                <w:lang w:val="es-AR"/>
                              </w:rPr>
                            </w:pPr>
                            <w:r w:rsidRPr="00DD39EA">
                              <w:rPr>
                                <w:rFonts w:ascii="Calibri" w:eastAsia="Calibri" w:hAnsi="Calibri" w:cs="Times New Roman"/>
                                <w:color w:val="auto"/>
                                <w:sz w:val="36"/>
                                <w:szCs w:val="36"/>
                                <w:lang w:val="es-AR"/>
                              </w:rPr>
                              <w:t xml:space="preserve">CUIDADOS MÉDICOS PARA BEBÉS Y NIÑOS </w:t>
                            </w:r>
                            <w:r w:rsidRPr="00DD39EA">
                              <w:rPr>
                                <w:rFonts w:ascii="Calibri" w:eastAsia="Calibri" w:hAnsi="Calibri" w:cs="Times New Roman"/>
                                <w:color w:val="auto"/>
                                <w:sz w:val="36"/>
                                <w:szCs w:val="32"/>
                                <w:lang w:val="es-AR"/>
                              </w:rPr>
                              <w:t>PEQUEÑOS</w:t>
                            </w:r>
                          </w:p>
                          <w:p w14:paraId="0A61B525" w14:textId="6FA6AAD2" w:rsidR="00DD39EA" w:rsidRPr="00DD39EA" w:rsidRDefault="00DD39EA" w:rsidP="00DD39EA">
                            <w:pPr>
                              <w:spacing w:after="200"/>
                              <w:jc w:val="center"/>
                              <w:rPr>
                                <w:rFonts w:ascii="Calibri" w:eastAsia="Calibri" w:hAnsi="Calibri" w:cs="Times New Roman"/>
                                <w:color w:val="auto"/>
                                <w:szCs w:val="28"/>
                                <w:lang w:val="es-AR"/>
                              </w:rPr>
                            </w:pPr>
                            <w:r w:rsidRPr="00DD39EA">
                              <w:rPr>
                                <w:rFonts w:ascii="Calibri" w:eastAsia="Calibri" w:hAnsi="Calibri" w:cs="Times New Roman"/>
                                <w:color w:val="auto"/>
                                <w:sz w:val="36"/>
                                <w:szCs w:val="32"/>
                                <w:lang w:val="es-AR"/>
                              </w:rPr>
                              <w:t>CON SÍNDROME DE PRADER-WILLI (0 -3 AÑOS)</w:t>
                            </w:r>
                          </w:p>
                          <w:p w14:paraId="616F1472" w14:textId="77777777" w:rsidR="00DD39EA" w:rsidRPr="00DD39EA" w:rsidRDefault="00DD39EA" w:rsidP="00DD39EA">
                            <w:pPr>
                              <w:spacing w:after="200"/>
                              <w:jc w:val="center"/>
                              <w:rPr>
                                <w:rFonts w:ascii="Calibri" w:eastAsia="Calibri" w:hAnsi="Calibri" w:cs="Times New Roman"/>
                                <w:b w:val="0"/>
                                <w:color w:val="auto"/>
                                <w:szCs w:val="28"/>
                                <w:lang w:val="es-AR"/>
                              </w:rPr>
                            </w:pPr>
                            <w:r w:rsidRPr="00DD39EA">
                              <w:rPr>
                                <w:rFonts w:ascii="Calibri" w:eastAsia="Calibri" w:hAnsi="Calibri" w:cs="Times New Roman"/>
                                <w:b w:val="0"/>
                                <w:color w:val="auto"/>
                                <w:szCs w:val="28"/>
                                <w:lang w:val="es-AR"/>
                              </w:rPr>
                              <w:t>Evaluación, Guía y Revisión para los profesionales de la salud</w:t>
                            </w:r>
                          </w:p>
                          <w:p w14:paraId="4571E47C" w14:textId="302DFCFF" w:rsidR="0094116E" w:rsidRPr="007D2EC6" w:rsidRDefault="0094116E" w:rsidP="0094116E">
                            <w:pPr>
                              <w:jc w:val="center"/>
                              <w:rPr>
                                <w:i/>
                                <w:iCs/>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867F9B6" id="_x0000_t202" coordsize="21600,21600" o:spt="202" path="m,l,21600r21600,l21600,xe">
                <v:stroke joinstyle="miter"/>
                <v:path gradientshapeok="t" o:connecttype="rect"/>
              </v:shapetype>
              <v:shape id="Text Box 2" o:spid="_x0000_s1026" type="#_x0000_t202" style="position:absolute;margin-left:0;margin-top:1pt;width:529pt;height:110.6pt;z-index:2516689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AZCJAIAAEcEAAAOAAAAZHJzL2Uyb0RvYy54bWysU9tu2zAMfR+wfxD0vtjOkjQ14hRdugwD&#10;ugvQ7gNoWY6F6TZJiZ19fSk5zYJuexmmB0EUqSPyHHJ1MyhJDtx5YXRFi0lOCdfMNELvKvrtcftm&#10;SYkPoBuQRvOKHrmnN+vXr1a9LfnUdEY23BEE0b7sbUW7EGyZZZ51XIGfGMs1OlvjFAQ03S5rHPSI&#10;rmQ2zfNF1hvXWGcY9x5v70YnXSf8tuUsfGlbzwORFcXcQtpd2uu4Z+sVlDsHthPslAb8QxYKhMZP&#10;z1B3EIDsnfgNSgnmjDdtmDCjMtO2gvFUA1ZT5C+qeejA8lQLkuPtmSb//2DZ58NXR0RT0WlxRYkG&#10;hSI98iGQd2Yg08hPb32JYQ8WA8OA16hzqtXbe8O+e6LNpgO947fOmb7j0GB+RXyZXTwdcXwEqftP&#10;psFvYB9MAhpapyJ5SAdBdNTpeNYmpsLwcnFVLN/m6GLoK2b5bDFN6mVQPj+3zocP3CgSDxV1KH6C&#10;h8O9DzEdKJ9D4m/eSNFshZTJcLt6Ix05ADbKNq1UwYswqUlf0ev5dD4y8FeIPK0/QSgRsOOlUBVd&#10;noOgjLy9103qxwBCjmdMWeoTkZG7kcUw1MNJmNo0R6TUmbGzcRLx0Bn3k5Ieu7qi/sceHKdEftQo&#10;y3Uxm8UxSMZsfoUcEnfpqS89oBlCVTRQMh43IY1OIszeonxbkYiNOo+ZnHLFbk18nyYrjsOlnaJ+&#10;zf/6CQAA//8DAFBLAwQUAAYACAAAACEAwkhyutoAAAAHAQAADwAAAGRycy9kb3ducmV2LnhtbEyP&#10;zW7CMBCE75V4B2uRekHFaVAQSuOgFokTJ1J6N/E2iYjXwTYQ3p7l1J72Z1Yz3xbr0fbiij50jhS8&#10;zxMQSLUzHTUKDt/btxWIEDUZ3TtCBXcMsC4nL4XOjbvRHq9VbASbUMi1gjbGIZcy1C1aHeZuQGLt&#10;13mrI4++kcbrG5vbXqZJspRWd8QJrR5w02J9qi5WwfJcLWa7HzOj/X375Wubmc0hU+p1On5+gIg4&#10;xr9jeOIzOpTMdHQXMkH0CviRqCDl8hSTbMXdkRfpIgVZFvI/f/kAAAD//wMAUEsBAi0AFAAGAAgA&#10;AAAhALaDOJL+AAAA4QEAABMAAAAAAAAAAAAAAAAAAAAAAFtDb250ZW50X1R5cGVzXS54bWxQSwEC&#10;LQAUAAYACAAAACEAOP0h/9YAAACUAQAACwAAAAAAAAAAAAAAAAAvAQAAX3JlbHMvLnJlbHNQSwEC&#10;LQAUAAYACAAAACEANKAGQiQCAABHBAAADgAAAAAAAAAAAAAAAAAuAgAAZHJzL2Uyb0RvYy54bWxQ&#10;SwECLQAUAAYACAAAACEAwkhyutoAAAAHAQAADwAAAAAAAAAAAAAAAAB+BAAAZHJzL2Rvd25yZXYu&#10;eG1sUEsFBgAAAAAEAAQA8wAAAIUFAAAAAA==&#10;">
                <v:textbox style="mso-fit-shape-to-text:t">
                  <w:txbxContent>
                    <w:p w14:paraId="4992C747" w14:textId="77777777" w:rsidR="00DD39EA" w:rsidRPr="00DD39EA" w:rsidRDefault="00DD39EA" w:rsidP="00DD39EA">
                      <w:pPr>
                        <w:spacing w:after="200"/>
                        <w:jc w:val="center"/>
                        <w:rPr>
                          <w:rFonts w:ascii="Calibri" w:eastAsia="Calibri" w:hAnsi="Calibri" w:cs="Times New Roman"/>
                          <w:color w:val="auto"/>
                          <w:sz w:val="36"/>
                          <w:szCs w:val="32"/>
                          <w:lang w:val="es-AR"/>
                        </w:rPr>
                      </w:pPr>
                      <w:r w:rsidRPr="00DD39EA">
                        <w:rPr>
                          <w:rFonts w:ascii="Calibri" w:eastAsia="Calibri" w:hAnsi="Calibri" w:cs="Times New Roman"/>
                          <w:color w:val="auto"/>
                          <w:sz w:val="36"/>
                          <w:szCs w:val="36"/>
                          <w:lang w:val="es-AR"/>
                        </w:rPr>
                        <w:t xml:space="preserve">CUIDADOS MÉDICOS PARA BEBÉS Y NIÑOS </w:t>
                      </w:r>
                      <w:r w:rsidRPr="00DD39EA">
                        <w:rPr>
                          <w:rFonts w:ascii="Calibri" w:eastAsia="Calibri" w:hAnsi="Calibri" w:cs="Times New Roman"/>
                          <w:color w:val="auto"/>
                          <w:sz w:val="36"/>
                          <w:szCs w:val="32"/>
                          <w:lang w:val="es-AR"/>
                        </w:rPr>
                        <w:t>PEQUEÑOS</w:t>
                      </w:r>
                    </w:p>
                    <w:p w14:paraId="0A61B525" w14:textId="6FA6AAD2" w:rsidR="00DD39EA" w:rsidRPr="00DD39EA" w:rsidRDefault="00DD39EA" w:rsidP="00DD39EA">
                      <w:pPr>
                        <w:spacing w:after="200"/>
                        <w:jc w:val="center"/>
                        <w:rPr>
                          <w:rFonts w:ascii="Calibri" w:eastAsia="Calibri" w:hAnsi="Calibri" w:cs="Times New Roman"/>
                          <w:color w:val="auto"/>
                          <w:szCs w:val="28"/>
                          <w:lang w:val="es-AR"/>
                        </w:rPr>
                      </w:pPr>
                      <w:r w:rsidRPr="00DD39EA">
                        <w:rPr>
                          <w:rFonts w:ascii="Calibri" w:eastAsia="Calibri" w:hAnsi="Calibri" w:cs="Times New Roman"/>
                          <w:color w:val="auto"/>
                          <w:sz w:val="36"/>
                          <w:szCs w:val="32"/>
                          <w:lang w:val="es-AR"/>
                        </w:rPr>
                        <w:t>CON SÍNDROME DE PRADER-WILLI (0 -3 AÑOS)</w:t>
                      </w:r>
                    </w:p>
                    <w:p w14:paraId="616F1472" w14:textId="77777777" w:rsidR="00DD39EA" w:rsidRPr="00DD39EA" w:rsidRDefault="00DD39EA" w:rsidP="00DD39EA">
                      <w:pPr>
                        <w:spacing w:after="200"/>
                        <w:jc w:val="center"/>
                        <w:rPr>
                          <w:rFonts w:ascii="Calibri" w:eastAsia="Calibri" w:hAnsi="Calibri" w:cs="Times New Roman"/>
                          <w:b w:val="0"/>
                          <w:color w:val="auto"/>
                          <w:szCs w:val="28"/>
                          <w:lang w:val="es-AR"/>
                        </w:rPr>
                      </w:pPr>
                      <w:r w:rsidRPr="00DD39EA">
                        <w:rPr>
                          <w:rFonts w:ascii="Calibri" w:eastAsia="Calibri" w:hAnsi="Calibri" w:cs="Times New Roman"/>
                          <w:b w:val="0"/>
                          <w:color w:val="auto"/>
                          <w:szCs w:val="28"/>
                          <w:lang w:val="es-AR"/>
                        </w:rPr>
                        <w:t>Evaluación, Guía y Revisión para los profesionales de la salud</w:t>
                      </w:r>
                    </w:p>
                    <w:p w14:paraId="4571E47C" w14:textId="302DFCFF" w:rsidR="0094116E" w:rsidRPr="007D2EC6" w:rsidRDefault="0094116E" w:rsidP="0094116E">
                      <w:pPr>
                        <w:jc w:val="center"/>
                        <w:rPr>
                          <w:i/>
                          <w:iCs/>
                          <w:sz w:val="36"/>
                          <w:szCs w:val="36"/>
                        </w:rPr>
                      </w:pPr>
                    </w:p>
                  </w:txbxContent>
                </v:textbox>
                <w10:wrap type="square" anchorx="margin"/>
              </v:shape>
            </w:pict>
          </mc:Fallback>
        </mc:AlternateContent>
      </w:r>
    </w:p>
    <w:p w14:paraId="7B7E7F85" w14:textId="78BF8E07" w:rsidR="00D077E9" w:rsidRDefault="00DD39EA">
      <w:pPr>
        <w:spacing w:after="200"/>
      </w:pPr>
      <w:r>
        <w:rPr>
          <w:noProof/>
        </w:rPr>
        <w:drawing>
          <wp:anchor distT="0" distB="0" distL="114300" distR="114300" simplePos="0" relativeHeight="251659264" behindDoc="0" locked="0" layoutInCell="1" allowOverlap="1" wp14:anchorId="530E8EDF" wp14:editId="757D8FA1">
            <wp:simplePos x="0" y="0"/>
            <wp:positionH relativeFrom="margin">
              <wp:posOffset>3903345</wp:posOffset>
            </wp:positionH>
            <wp:positionV relativeFrom="paragraph">
              <wp:posOffset>2901950</wp:posOffset>
            </wp:positionV>
            <wp:extent cx="2345232" cy="2194748"/>
            <wp:effectExtent l="0" t="0" r="0" b="0"/>
            <wp:wrapSquare wrapText="bothSides"/>
            <wp:docPr id="10" name="Picture 10" descr="A close up of 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eneyP 2005(05-05) pic#2[at beac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5232" cy="2194748"/>
                    </a:xfrm>
                    <a:prstGeom prst="rect">
                      <a:avLst/>
                    </a:prstGeom>
                  </pic:spPr>
                </pic:pic>
              </a:graphicData>
            </a:graphic>
            <wp14:sizeRelH relativeFrom="page">
              <wp14:pctWidth>0</wp14:pctWidth>
            </wp14:sizeRelH>
            <wp14:sizeRelV relativeFrom="page">
              <wp14:pctHeight>0</wp14:pctHeight>
            </wp14:sizeRelV>
          </wp:anchor>
        </w:drawing>
      </w:r>
      <w:r w:rsidR="00865811" w:rsidRPr="00D967AC">
        <w:rPr>
          <w:noProof/>
        </w:rPr>
        <w:drawing>
          <wp:anchor distT="0" distB="0" distL="114300" distR="114300" simplePos="0" relativeHeight="251655168" behindDoc="0" locked="0" layoutInCell="1" allowOverlap="1" wp14:anchorId="33646805" wp14:editId="23AB8792">
            <wp:simplePos x="0" y="0"/>
            <wp:positionH relativeFrom="margin">
              <wp:align>right</wp:align>
            </wp:positionH>
            <wp:positionV relativeFrom="paragraph">
              <wp:posOffset>5903595</wp:posOffset>
            </wp:positionV>
            <wp:extent cx="2178050" cy="1130300"/>
            <wp:effectExtent l="0" t="0" r="0" b="0"/>
            <wp:wrapNone/>
            <wp:docPr id="5"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2178050" cy="1130300"/>
                    </a:xfrm>
                    <a:prstGeom prst="rect">
                      <a:avLst/>
                    </a:prstGeom>
                  </pic:spPr>
                </pic:pic>
              </a:graphicData>
            </a:graphic>
            <wp14:sizeRelH relativeFrom="margin">
              <wp14:pctWidth>0</wp14:pctWidth>
            </wp14:sizeRelH>
            <wp14:sizeRelV relativeFrom="margin">
              <wp14:pctHeight>0</wp14:pctHeight>
            </wp14:sizeRelV>
          </wp:anchor>
        </w:drawing>
      </w:r>
      <w:r w:rsidR="00865811" w:rsidRPr="00D967AC">
        <w:rPr>
          <w:noProof/>
        </w:rPr>
        <w:drawing>
          <wp:anchor distT="0" distB="0" distL="114300" distR="114300" simplePos="0" relativeHeight="251657216" behindDoc="0" locked="0" layoutInCell="1" allowOverlap="1" wp14:anchorId="6635A604" wp14:editId="4381C432">
            <wp:simplePos x="0" y="0"/>
            <wp:positionH relativeFrom="margin">
              <wp:align>left</wp:align>
            </wp:positionH>
            <wp:positionV relativeFrom="paragraph">
              <wp:posOffset>5901055</wp:posOffset>
            </wp:positionV>
            <wp:extent cx="2247900" cy="1155700"/>
            <wp:effectExtent l="0" t="0" r="0" b="6350"/>
            <wp:wrapNone/>
            <wp:docPr id="12"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descr="logo-placeholder">
                      <a:extLst>
                        <a:ext uri="{FF2B5EF4-FFF2-40B4-BE49-F238E27FC236}">
                          <a16:creationId xmlns:a16="http://schemas.microsoft.com/office/drawing/2014/main" id="{F3D65186-AB5A-4584-87C3-0FAA2992263B}"/>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7900" cy="1155700"/>
                    </a:xfrm>
                    <a:prstGeom prst="rect">
                      <a:avLst/>
                    </a:prstGeom>
                  </pic:spPr>
                </pic:pic>
              </a:graphicData>
            </a:graphic>
            <wp14:sizeRelH relativeFrom="margin">
              <wp14:pctWidth>0</wp14:pctWidth>
            </wp14:sizeRelH>
            <wp14:sizeRelV relativeFrom="margin">
              <wp14:pctHeight>0</wp14:pctHeight>
            </wp14:sizeRelV>
          </wp:anchor>
        </w:drawing>
      </w:r>
      <w:r w:rsidR="001F4EC8">
        <w:rPr>
          <w:noProof/>
        </w:rPr>
        <w:drawing>
          <wp:anchor distT="0" distB="0" distL="114300" distR="114300" simplePos="0" relativeHeight="251681280" behindDoc="0" locked="0" layoutInCell="1" allowOverlap="1" wp14:anchorId="0AC066F4" wp14:editId="1535528F">
            <wp:simplePos x="0" y="0"/>
            <wp:positionH relativeFrom="margin">
              <wp:posOffset>1816735</wp:posOffset>
            </wp:positionH>
            <wp:positionV relativeFrom="paragraph">
              <wp:posOffset>1521460</wp:posOffset>
            </wp:positionV>
            <wp:extent cx="2579370" cy="1934210"/>
            <wp:effectExtent l="0" t="0" r="0" b="8890"/>
            <wp:wrapSquare wrapText="bothSides"/>
            <wp:docPr id="9" name="Picture 9" descr="A close up of a child wearing a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eneyP 2005(02-14) 1[face].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9370" cy="1934210"/>
                    </a:xfrm>
                    <a:prstGeom prst="rect">
                      <a:avLst/>
                    </a:prstGeom>
                  </pic:spPr>
                </pic:pic>
              </a:graphicData>
            </a:graphic>
            <wp14:sizeRelH relativeFrom="page">
              <wp14:pctWidth>0</wp14:pctWidth>
            </wp14:sizeRelH>
            <wp14:sizeRelV relativeFrom="page">
              <wp14:pctHeight>0</wp14:pctHeight>
            </wp14:sizeRelV>
          </wp:anchor>
        </w:drawing>
      </w:r>
      <w:r w:rsidR="00D077E9">
        <w:rPr>
          <w:noProof/>
        </w:rPr>
        <mc:AlternateContent>
          <mc:Choice Requires="wps">
            <w:drawing>
              <wp:anchor distT="0" distB="0" distL="114300" distR="114300" simplePos="0" relativeHeight="251659264" behindDoc="1" locked="0" layoutInCell="1" allowOverlap="1" wp14:anchorId="73751F27" wp14:editId="5DB330AE">
                <wp:simplePos x="0" y="0"/>
                <wp:positionH relativeFrom="column">
                  <wp:posOffset>-746975</wp:posOffset>
                </wp:positionH>
                <wp:positionV relativeFrom="page">
                  <wp:posOffset>6670040</wp:posOffset>
                </wp:positionV>
                <wp:extent cx="776097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6097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1DEBF1" id="Rectangle 2" o:spid="_x0000_s1026" alt="colored rectangle" style="position:absolute;margin-left:-58.8pt;margin-top:525.2pt;width:611.1pt;height:265.7pt;z-index:-251657216;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3HjnwIAAKMFAAAOAAAAZHJzL2Uyb0RvYy54bWysVEtv2zAMvg/YfxB0X+082qxBnSJo0WFA&#10;0RVth55VWYoNyKJGKXGyXz9KfjTrih2G5eCIIvmR/ETy4nLfGLZT6GuwBZ+c5JwpK6Gs7abg359u&#10;Pn3mzAdhS2HAqoIflOeXq48fLlq3VFOowJQKGYFYv2xdwasQ3DLLvKxUI/wJOGVJqQEbEUjETVai&#10;aAm9Mdk0z8+yFrB0CFJ5T7fXnZKvEr7WSoZvWnsVmCk45RbSF9P3JX6z1YVYblC4qpZ9GuIfsmhE&#10;bSnoCHUtgmBbrP+AamqJ4EGHEwlNBlrXUqUaqJpJ/qaax0o4lWohcrwbafL/D1be7e6R1WXBp5xZ&#10;0dATPRBpwm6MYnRVKi+JLgkGUJUMB10krnV+Sf6P7h57ydMxsrDX2MR/qo/tE9mHkWy1D0zS5WJx&#10;lp8v6E0k6WazxXx2np4je3V36MMXBQ2Lh4LH4Ilksbv1gUKS6WASo3kwdXlTG5OE2EHqyiDbCXp7&#10;IaWyYRbTJq/fLI2N9haiZ6eON1msrqsnncLBqGhn7IPSRBhVME3JpFZ9G2jSqSpRqi7+aU6/IfqQ&#10;WsolAUZkTfFH7B5gsDwuYtLD9PbRVaVOH53zvyXWlTh6pMhgw+jc1BbwPQATxsid/UBSR01k6QXK&#10;A7UTQjdn3smbmp7uVvhwL5AGi56blkX4Rh9toC049CfOKsCf791He+p30nLW0qAW3P/YClScma+W&#10;JuF8Mp/HyU7C/HQxJQGPNS/HGrttroD6YUJrycl0jPbBDEeN0DzTTlnHqKQSVlJsmoCAg3AVugVC&#10;W0mq9TqZ0TQ7EW7to5MRPLIaW/Np/yzQ9f0bqPXvYBhqsXzTxp1t9LSw3gbQderxV157vmkTpMbp&#10;t1ZcNcdysnrdratfAAAA//8DAFBLAwQUAAYACAAAACEAKO5wP+AAAAAPAQAADwAAAGRycy9kb3du&#10;cmV2LnhtbEyPQU/DMAyF70j8h8hI3LakaB1VaTpVlThwZLCds9ZrKxKnatKt8OvxTnCz/Z6ev1fs&#10;FmfFBacweNKQrBUIpMa3A3UaPj9eVxmIEA21xnpCDd8YYFfe3xUmb/2V3vGyj53gEAq50dDHOOZS&#10;hqZHZ8Laj0isnf3kTOR16mQ7mSuHOyuflNpKZwbiD70Zse6x+drPTkNK+JbG/Y+tD1V1nk1zqI/B&#10;av34sFQvICIu8c8MN3xGh5KZTn6mNgirYZUkz1v2sqJStQFx8yRqw7cTT2mWZCDLQv7vUf4CAAD/&#10;/wMAUEsBAi0AFAAGAAgAAAAhALaDOJL+AAAA4QEAABMAAAAAAAAAAAAAAAAAAAAAAFtDb250ZW50&#10;X1R5cGVzXS54bWxQSwECLQAUAAYACAAAACEAOP0h/9YAAACUAQAACwAAAAAAAAAAAAAAAAAvAQAA&#10;X3JlbHMvLnJlbHNQSwECLQAUAAYACAAAACEAhvNx458CAACjBQAADgAAAAAAAAAAAAAAAAAuAgAA&#10;ZHJzL2Uyb0RvYy54bWxQSwECLQAUAAYACAAAACEAKO5wP+AAAAAPAQAADwAAAAAAAAAAAAAAAAD5&#10;BAAAZHJzL2Rvd25yZXYueG1sUEsFBgAAAAAEAAQA8wAAAAYGAAAAAA==&#10;" fillcolor="#34aba2 [3206]" stroked="f" strokeweight="2pt">
                <w10:wrap anchory="page"/>
              </v:rect>
            </w:pict>
          </mc:Fallback>
        </mc:AlternateContent>
      </w:r>
      <w:r w:rsidR="00D077E9">
        <w:br w:type="page"/>
      </w:r>
    </w:p>
    <w:p w14:paraId="091E65DC" w14:textId="2061A92A" w:rsidR="000A7C9B" w:rsidRDefault="000A7C9B" w:rsidP="000A7C9B">
      <w:pPr>
        <w:widowControl w:val="0"/>
        <w:shd w:val="clear" w:color="auto" w:fill="FFFFFF"/>
        <w:suppressAutoHyphens/>
        <w:rPr>
          <w:rFonts w:eastAsia="SimSun" w:cstheme="minorHAnsi"/>
          <w:b w:val="0"/>
          <w:bCs/>
          <w:color w:val="000000"/>
          <w:kern w:val="2"/>
          <w:sz w:val="24"/>
          <w:szCs w:val="24"/>
          <w:lang w:eastAsia="hi-IN" w:bidi="hi-IN"/>
        </w:rPr>
      </w:pPr>
    </w:p>
    <w:p w14:paraId="0171BCFC" w14:textId="77777777" w:rsidR="00DD39EA" w:rsidRPr="00DD39EA" w:rsidRDefault="00DD39EA" w:rsidP="00DD39EA">
      <w:pPr>
        <w:spacing w:after="200"/>
        <w:jc w:val="center"/>
        <w:rPr>
          <w:rFonts w:ascii="Calibri" w:eastAsia="Calibri" w:hAnsi="Calibri" w:cs="Times New Roman"/>
          <w:color w:val="auto"/>
          <w:sz w:val="36"/>
          <w:szCs w:val="32"/>
          <w:lang w:val="es-AR"/>
        </w:rPr>
      </w:pPr>
      <w:bookmarkStart w:id="0" w:name="_Hlk22974460"/>
      <w:r w:rsidRPr="00DD39EA">
        <w:rPr>
          <w:rFonts w:ascii="Calibri" w:eastAsia="Calibri" w:hAnsi="Calibri" w:cs="Times New Roman"/>
          <w:color w:val="auto"/>
          <w:sz w:val="36"/>
          <w:szCs w:val="36"/>
          <w:lang w:val="es-AR"/>
        </w:rPr>
        <w:t xml:space="preserve">CUIDADOS MÉDICOS PARA BEBÉS Y NIÑOS </w:t>
      </w:r>
      <w:r w:rsidRPr="00DD39EA">
        <w:rPr>
          <w:rFonts w:ascii="Calibri" w:eastAsia="Calibri" w:hAnsi="Calibri" w:cs="Times New Roman"/>
          <w:color w:val="auto"/>
          <w:sz w:val="36"/>
          <w:szCs w:val="32"/>
          <w:lang w:val="es-AR"/>
        </w:rPr>
        <w:t>PEQUEÑOS</w:t>
      </w:r>
    </w:p>
    <w:p w14:paraId="036BBCA8" w14:textId="77777777" w:rsidR="00DD39EA" w:rsidRPr="00DD39EA" w:rsidRDefault="00DD39EA" w:rsidP="00DD39EA">
      <w:pPr>
        <w:spacing w:after="200"/>
        <w:jc w:val="center"/>
        <w:rPr>
          <w:rFonts w:ascii="Calibri" w:eastAsia="Calibri" w:hAnsi="Calibri" w:cs="Times New Roman"/>
          <w:color w:val="auto"/>
          <w:sz w:val="36"/>
          <w:szCs w:val="32"/>
          <w:lang w:val="es-AR"/>
        </w:rPr>
      </w:pPr>
      <w:r w:rsidRPr="00DD39EA">
        <w:rPr>
          <w:rFonts w:ascii="Calibri" w:eastAsia="Calibri" w:hAnsi="Calibri" w:cs="Times New Roman"/>
          <w:color w:val="auto"/>
          <w:sz w:val="36"/>
          <w:szCs w:val="32"/>
          <w:lang w:val="es-AR"/>
        </w:rPr>
        <w:t>CON SÍNDROME DE PRADER-WILLI (0 -3 AÑOS)</w:t>
      </w:r>
    </w:p>
    <w:p w14:paraId="1684FD61" w14:textId="77777777" w:rsidR="00DD39EA" w:rsidRPr="00DD39EA" w:rsidRDefault="00DD39EA" w:rsidP="00DD39EA">
      <w:pPr>
        <w:spacing w:after="200"/>
        <w:jc w:val="center"/>
        <w:rPr>
          <w:rFonts w:ascii="Calibri" w:eastAsia="Calibri" w:hAnsi="Calibri" w:cs="Times New Roman"/>
          <w:b w:val="0"/>
          <w:color w:val="auto"/>
          <w:szCs w:val="28"/>
          <w:lang w:val="es-AR"/>
        </w:rPr>
      </w:pPr>
      <w:r w:rsidRPr="00DD39EA">
        <w:rPr>
          <w:rFonts w:ascii="Calibri" w:eastAsia="Calibri" w:hAnsi="Calibri" w:cs="Times New Roman"/>
          <w:b w:val="0"/>
          <w:color w:val="auto"/>
          <w:szCs w:val="28"/>
          <w:lang w:val="es-AR"/>
        </w:rPr>
        <w:t>Evaluación, Guía y Revisión para los profesionales de la salud</w:t>
      </w:r>
    </w:p>
    <w:bookmarkEnd w:id="0"/>
    <w:p w14:paraId="1F736BCB" w14:textId="77777777" w:rsidR="00DD39EA" w:rsidRPr="00DD39EA" w:rsidRDefault="00DD39EA" w:rsidP="00DD39EA">
      <w:pPr>
        <w:spacing w:after="200"/>
        <w:rPr>
          <w:rFonts w:ascii="Calibri" w:eastAsia="Calibri" w:hAnsi="Calibri" w:cs="Times New Roman"/>
          <w:color w:val="auto"/>
          <w:sz w:val="22"/>
          <w:lang w:val="es-AR"/>
        </w:rPr>
      </w:pPr>
      <w:r w:rsidRPr="00DD39EA">
        <w:rPr>
          <w:rFonts w:ascii="Calibri" w:eastAsia="Calibri" w:hAnsi="Calibri" w:cs="Times New Roman"/>
          <w:color w:val="auto"/>
          <w:sz w:val="22"/>
          <w:lang w:val="es-AR"/>
        </w:rPr>
        <w:t xml:space="preserve">Realizado </w:t>
      </w:r>
      <w:proofErr w:type="gramStart"/>
      <w:r w:rsidRPr="00DD39EA">
        <w:rPr>
          <w:rFonts w:ascii="Calibri" w:eastAsia="Calibri" w:hAnsi="Calibri" w:cs="Times New Roman"/>
          <w:color w:val="auto"/>
          <w:sz w:val="22"/>
          <w:lang w:val="es-AR"/>
        </w:rPr>
        <w:t>por  asesores</w:t>
      </w:r>
      <w:proofErr w:type="gramEnd"/>
      <w:r w:rsidRPr="00DD39EA">
        <w:rPr>
          <w:rFonts w:ascii="Calibri" w:eastAsia="Calibri" w:hAnsi="Calibri" w:cs="Times New Roman"/>
          <w:color w:val="auto"/>
          <w:sz w:val="22"/>
          <w:lang w:val="es-AR"/>
        </w:rPr>
        <w:t xml:space="preserve"> clínicos y científicos del comité de la Asociación Internacional del Síndrome de Prader- Willi (IPWSO).  Mayo 2019. </w:t>
      </w:r>
    </w:p>
    <w:p w14:paraId="1E171573" w14:textId="77777777" w:rsidR="00DD39EA" w:rsidRPr="00DD39EA" w:rsidRDefault="00DD39EA" w:rsidP="0039487B">
      <w:pPr>
        <w:spacing w:after="200" w:line="240" w:lineRule="auto"/>
        <w:rPr>
          <w:rFonts w:ascii="Calibri" w:eastAsia="Calibri" w:hAnsi="Calibri" w:cs="Times New Roman"/>
          <w:b w:val="0"/>
          <w:color w:val="auto"/>
          <w:sz w:val="24"/>
          <w:szCs w:val="24"/>
          <w:lang w:val="es-AR"/>
        </w:rPr>
      </w:pPr>
      <w:r w:rsidRPr="00DD39EA">
        <w:rPr>
          <w:rFonts w:ascii="Calibri" w:eastAsia="Calibri" w:hAnsi="Calibri" w:cs="Times New Roman"/>
          <w:b w:val="0"/>
          <w:color w:val="auto"/>
          <w:sz w:val="24"/>
          <w:szCs w:val="24"/>
          <w:lang w:val="es-AR"/>
        </w:rPr>
        <w:t xml:space="preserve">El Síndrome de Prader- Willi (SPW) es un trastorno genético complejo, con manifestaciones tanto endocrinológicas, del </w:t>
      </w:r>
      <w:proofErr w:type="gramStart"/>
      <w:r w:rsidRPr="00DD39EA">
        <w:rPr>
          <w:rFonts w:ascii="Calibri" w:eastAsia="Calibri" w:hAnsi="Calibri" w:cs="Times New Roman"/>
          <w:b w:val="0"/>
          <w:color w:val="auto"/>
          <w:sz w:val="24"/>
          <w:szCs w:val="24"/>
          <w:lang w:val="es-AR"/>
        </w:rPr>
        <w:t>neurodesarrollo,  y</w:t>
      </w:r>
      <w:proofErr w:type="gramEnd"/>
      <w:r w:rsidRPr="00DD39EA">
        <w:rPr>
          <w:rFonts w:ascii="Calibri" w:eastAsia="Calibri" w:hAnsi="Calibri" w:cs="Times New Roman"/>
          <w:b w:val="0"/>
          <w:color w:val="auto"/>
          <w:sz w:val="24"/>
          <w:szCs w:val="24"/>
          <w:lang w:val="es-AR"/>
        </w:rPr>
        <w:t xml:space="preserve"> un alto potencial de complicaciones médicas. </w:t>
      </w:r>
      <w:proofErr w:type="gramStart"/>
      <w:r w:rsidRPr="00DD39EA">
        <w:rPr>
          <w:rFonts w:ascii="Calibri" w:eastAsia="Calibri" w:hAnsi="Calibri" w:cs="Times New Roman"/>
          <w:b w:val="0"/>
          <w:color w:val="auto"/>
          <w:sz w:val="24"/>
          <w:szCs w:val="24"/>
          <w:lang w:val="es-AR"/>
        </w:rPr>
        <w:t>El test</w:t>
      </w:r>
      <w:proofErr w:type="gramEnd"/>
      <w:r w:rsidRPr="00DD39EA">
        <w:rPr>
          <w:rFonts w:ascii="Calibri" w:eastAsia="Calibri" w:hAnsi="Calibri" w:cs="Times New Roman"/>
          <w:b w:val="0"/>
          <w:color w:val="auto"/>
          <w:sz w:val="24"/>
          <w:szCs w:val="24"/>
          <w:lang w:val="es-AR"/>
        </w:rPr>
        <w:t xml:space="preserve"> genético está disponible y es esencial para confirmar el diagnóstico y definir un genotipo. Un </w:t>
      </w:r>
      <w:proofErr w:type="gramStart"/>
      <w:r w:rsidRPr="00DD39EA">
        <w:rPr>
          <w:rFonts w:ascii="Calibri" w:eastAsia="Calibri" w:hAnsi="Calibri" w:cs="Times New Roman"/>
          <w:b w:val="0"/>
          <w:color w:val="auto"/>
          <w:sz w:val="24"/>
          <w:szCs w:val="24"/>
          <w:lang w:val="es-AR"/>
        </w:rPr>
        <w:t>único test</w:t>
      </w:r>
      <w:proofErr w:type="gramEnd"/>
      <w:r w:rsidRPr="00DD39EA">
        <w:rPr>
          <w:rFonts w:ascii="Calibri" w:eastAsia="Calibri" w:hAnsi="Calibri" w:cs="Times New Roman"/>
          <w:b w:val="0"/>
          <w:color w:val="auto"/>
          <w:sz w:val="24"/>
          <w:szCs w:val="24"/>
          <w:lang w:val="es-AR"/>
        </w:rPr>
        <w:t xml:space="preserve"> genético, análisis de ADN metilación, pueden concluir con el diagnóstico en el 99% de los casos. </w:t>
      </w:r>
    </w:p>
    <w:p w14:paraId="3D7B0EFE" w14:textId="77777777" w:rsidR="00DD39EA" w:rsidRPr="00DD39EA" w:rsidRDefault="00DD39EA" w:rsidP="0039487B">
      <w:pPr>
        <w:spacing w:after="200" w:line="240" w:lineRule="auto"/>
        <w:rPr>
          <w:rFonts w:ascii="Calibri" w:eastAsia="Calibri" w:hAnsi="Calibri" w:cs="Times New Roman"/>
          <w:b w:val="0"/>
          <w:color w:val="auto"/>
          <w:sz w:val="24"/>
          <w:szCs w:val="24"/>
          <w:lang w:val="es-AR"/>
        </w:rPr>
      </w:pPr>
      <w:r w:rsidRPr="00DD39EA">
        <w:rPr>
          <w:rFonts w:ascii="Calibri" w:eastAsia="Calibri" w:hAnsi="Calibri" w:cs="Times New Roman"/>
          <w:b w:val="0"/>
          <w:color w:val="auto"/>
          <w:sz w:val="24"/>
          <w:szCs w:val="24"/>
          <w:lang w:val="es-AR"/>
        </w:rPr>
        <w:t xml:space="preserve">Los primeros 3 años están caracterizados por un cambio dinámico.  En el período neonatal hay una hipotonía severa, con pobre succión y dificultad para alimentarse. La mayoría requiera fórmula o asistencia en la alimentación.  Luego, en la niñez temprana, el niño comienza a ganar peso fácilmente seguido por un interés por la comida, que puede devenir en una alimentación excesiva y el desarrollo gradual de obesidad mórbida, salvo que la alimentación esté controlada.  El desarrollo motor y del lenguaje está retrasado.  El diagnóstico temprano y la guía subsecuente son cruciales para lograr un desarrollo óptimo y un tratamiento para los bebés y niños con SPW.  Cuánto más temprano se tenga el diagnóstico, mejor informados estarán los padres y el equipo tratante, por lo </w:t>
      </w:r>
      <w:proofErr w:type="gramStart"/>
      <w:r w:rsidRPr="00DD39EA">
        <w:rPr>
          <w:rFonts w:ascii="Calibri" w:eastAsia="Calibri" w:hAnsi="Calibri" w:cs="Times New Roman"/>
          <w:b w:val="0"/>
          <w:color w:val="auto"/>
          <w:sz w:val="24"/>
          <w:szCs w:val="24"/>
          <w:lang w:val="es-AR"/>
        </w:rPr>
        <w:t>tanto</w:t>
      </w:r>
      <w:proofErr w:type="gramEnd"/>
      <w:r w:rsidRPr="00DD39EA">
        <w:rPr>
          <w:rFonts w:ascii="Calibri" w:eastAsia="Calibri" w:hAnsi="Calibri" w:cs="Times New Roman"/>
          <w:b w:val="0"/>
          <w:color w:val="auto"/>
          <w:sz w:val="24"/>
          <w:szCs w:val="24"/>
          <w:lang w:val="es-AR"/>
        </w:rPr>
        <w:t xml:space="preserve"> se podrán realizar mejores intervenciones tanto clínicas y conductuales.</w:t>
      </w:r>
    </w:p>
    <w:p w14:paraId="34FAEB22" w14:textId="77777777" w:rsidR="00DD39EA" w:rsidRPr="00DD39EA" w:rsidRDefault="00DD39EA" w:rsidP="0039487B">
      <w:pPr>
        <w:spacing w:after="200" w:line="240" w:lineRule="auto"/>
        <w:rPr>
          <w:rFonts w:ascii="Calibri" w:eastAsia="Calibri" w:hAnsi="Calibri" w:cs="Times New Roman"/>
          <w:b w:val="0"/>
          <w:color w:val="auto"/>
          <w:sz w:val="24"/>
          <w:szCs w:val="24"/>
          <w:lang w:val="es-AR"/>
        </w:rPr>
      </w:pPr>
      <w:r w:rsidRPr="00DD39EA">
        <w:rPr>
          <w:rFonts w:ascii="Calibri" w:eastAsia="Calibri" w:hAnsi="Calibri" w:cs="Times New Roman"/>
          <w:b w:val="0"/>
          <w:color w:val="auto"/>
          <w:sz w:val="24"/>
          <w:szCs w:val="24"/>
          <w:lang w:val="es-AR"/>
        </w:rPr>
        <w:t xml:space="preserve">La IPWSO reconoce que el acceso a servicios de salud y especialistas puede variar </w:t>
      </w:r>
      <w:proofErr w:type="gramStart"/>
      <w:r w:rsidRPr="00DD39EA">
        <w:rPr>
          <w:rFonts w:ascii="Calibri" w:eastAsia="Calibri" w:hAnsi="Calibri" w:cs="Times New Roman"/>
          <w:b w:val="0"/>
          <w:color w:val="auto"/>
          <w:sz w:val="24"/>
          <w:szCs w:val="24"/>
          <w:lang w:val="es-AR"/>
        </w:rPr>
        <w:t>de acuerdo a</w:t>
      </w:r>
      <w:proofErr w:type="gramEnd"/>
      <w:r w:rsidRPr="00DD39EA">
        <w:rPr>
          <w:rFonts w:ascii="Calibri" w:eastAsia="Calibri" w:hAnsi="Calibri" w:cs="Times New Roman"/>
          <w:b w:val="0"/>
          <w:color w:val="auto"/>
          <w:sz w:val="24"/>
          <w:szCs w:val="24"/>
          <w:lang w:val="es-AR"/>
        </w:rPr>
        <w:t xml:space="preserve"> diversos factores que incluyen grandes distancias, pobres traslados, recursos financieros limitados o disponibilidades restringidas. Este documento resume los requerimientos de salud necesarios en contextos con recursos disponibles. El lector está dirigido a otra guía de revisión y evaluación, que incluye niños con SPW (entre 3 y 12 años), adolescentes SPW (13 años en adelante), y adultos con PWS. Las siguientes son observaciones y guías. Otras consideraciones pueden ser garantizadas en algunos casos. </w:t>
      </w:r>
    </w:p>
    <w:p w14:paraId="191B4E6C" w14:textId="77777777" w:rsidR="00DD39EA" w:rsidRPr="00DD39EA" w:rsidRDefault="00DD39EA" w:rsidP="0039487B">
      <w:pPr>
        <w:spacing w:after="200" w:line="240" w:lineRule="auto"/>
        <w:rPr>
          <w:rFonts w:ascii="Calibri" w:eastAsia="Calibri" w:hAnsi="Calibri" w:cs="Times New Roman"/>
          <w:color w:val="auto"/>
          <w:szCs w:val="28"/>
          <w:lang w:val="es-AR"/>
        </w:rPr>
      </w:pPr>
      <w:r w:rsidRPr="00DD39EA">
        <w:rPr>
          <w:rFonts w:ascii="Calibri" w:eastAsia="Calibri" w:hAnsi="Calibri" w:cs="Times New Roman"/>
          <w:color w:val="auto"/>
          <w:szCs w:val="28"/>
          <w:lang w:val="es-AR"/>
        </w:rPr>
        <w:t xml:space="preserve">Prenatal: </w:t>
      </w:r>
    </w:p>
    <w:p w14:paraId="479C3B42" w14:textId="77777777" w:rsidR="00DD39EA" w:rsidRPr="00D32120" w:rsidRDefault="00DD39EA" w:rsidP="0039487B">
      <w:pPr>
        <w:pStyle w:val="ListParagraph"/>
        <w:numPr>
          <w:ilvl w:val="0"/>
          <w:numId w:val="26"/>
        </w:numPr>
        <w:spacing w:after="200" w:line="240" w:lineRule="auto"/>
        <w:rPr>
          <w:rFonts w:eastAsia="Calibri" w:cstheme="minorHAnsi"/>
          <w:b w:val="0"/>
          <w:color w:val="auto"/>
          <w:sz w:val="24"/>
          <w:szCs w:val="24"/>
          <w:lang w:val="es-AR"/>
        </w:rPr>
      </w:pPr>
      <w:r w:rsidRPr="00D32120">
        <w:rPr>
          <w:rFonts w:eastAsia="Calibri" w:cstheme="minorHAnsi"/>
          <w:b w:val="0"/>
          <w:color w:val="auto"/>
          <w:sz w:val="24"/>
          <w:szCs w:val="24"/>
          <w:lang w:val="es-AR"/>
        </w:rPr>
        <w:t xml:space="preserve">Movimientos fetales disminuidos, y </w:t>
      </w:r>
      <w:proofErr w:type="spellStart"/>
      <w:r w:rsidRPr="00D32120">
        <w:rPr>
          <w:rFonts w:eastAsia="Calibri" w:cstheme="minorHAnsi"/>
          <w:b w:val="0"/>
          <w:color w:val="auto"/>
          <w:sz w:val="24"/>
          <w:szCs w:val="24"/>
          <w:lang w:val="es-AR"/>
        </w:rPr>
        <w:t>polihidroamnios</w:t>
      </w:r>
      <w:proofErr w:type="spellEnd"/>
      <w:r w:rsidRPr="00D32120">
        <w:rPr>
          <w:rFonts w:eastAsia="Calibri" w:cstheme="minorHAnsi"/>
          <w:b w:val="0"/>
          <w:color w:val="auto"/>
          <w:sz w:val="24"/>
          <w:szCs w:val="24"/>
          <w:lang w:val="es-AR"/>
        </w:rPr>
        <w:t xml:space="preserve"> u </w:t>
      </w:r>
      <w:proofErr w:type="spellStart"/>
      <w:r w:rsidRPr="00D32120">
        <w:rPr>
          <w:rFonts w:eastAsia="Calibri" w:cstheme="minorHAnsi"/>
          <w:b w:val="0"/>
          <w:color w:val="auto"/>
          <w:sz w:val="24"/>
          <w:szCs w:val="24"/>
          <w:lang w:val="es-AR"/>
        </w:rPr>
        <w:t>oligohidroamnios</w:t>
      </w:r>
      <w:proofErr w:type="spellEnd"/>
      <w:r w:rsidRPr="00D32120">
        <w:rPr>
          <w:rFonts w:eastAsia="Calibri" w:cstheme="minorHAnsi"/>
          <w:b w:val="0"/>
          <w:color w:val="auto"/>
          <w:sz w:val="24"/>
          <w:szCs w:val="24"/>
          <w:lang w:val="es-AR"/>
        </w:rPr>
        <w:t xml:space="preserve"> son observados frecuentemente. </w:t>
      </w:r>
    </w:p>
    <w:p w14:paraId="4F9A2B64" w14:textId="77777777" w:rsidR="00DD39EA" w:rsidRPr="00D32120" w:rsidRDefault="00DD39EA" w:rsidP="0039487B">
      <w:pPr>
        <w:pStyle w:val="ListParagraph"/>
        <w:numPr>
          <w:ilvl w:val="0"/>
          <w:numId w:val="26"/>
        </w:numPr>
        <w:spacing w:after="200" w:line="240" w:lineRule="auto"/>
        <w:rPr>
          <w:rFonts w:eastAsia="Calibri" w:cstheme="minorHAnsi"/>
          <w:b w:val="0"/>
          <w:color w:val="auto"/>
          <w:sz w:val="24"/>
          <w:szCs w:val="24"/>
          <w:lang w:val="es-AR"/>
        </w:rPr>
      </w:pPr>
      <w:r w:rsidRPr="00D32120">
        <w:rPr>
          <w:rFonts w:eastAsia="Calibri" w:cstheme="minorHAnsi"/>
          <w:b w:val="0"/>
          <w:color w:val="auto"/>
          <w:sz w:val="24"/>
          <w:szCs w:val="24"/>
          <w:lang w:val="es-AR"/>
        </w:rPr>
        <w:t>Aumento del radio de la cabeza y circunferencia abdominal en ultrasonido fetal.</w:t>
      </w:r>
    </w:p>
    <w:p w14:paraId="687F820D" w14:textId="77777777" w:rsidR="00DD39EA" w:rsidRPr="00D32120" w:rsidRDefault="00DD39EA" w:rsidP="0039487B">
      <w:pPr>
        <w:pStyle w:val="ListParagraph"/>
        <w:numPr>
          <w:ilvl w:val="0"/>
          <w:numId w:val="26"/>
        </w:numPr>
        <w:spacing w:after="200" w:line="240" w:lineRule="auto"/>
        <w:rPr>
          <w:rFonts w:eastAsia="Calibri" w:cstheme="minorHAnsi"/>
          <w:b w:val="0"/>
          <w:color w:val="auto"/>
          <w:sz w:val="24"/>
          <w:szCs w:val="24"/>
          <w:lang w:val="es-AR"/>
        </w:rPr>
      </w:pPr>
      <w:r w:rsidRPr="00D32120">
        <w:rPr>
          <w:rFonts w:eastAsia="Calibri" w:cstheme="minorHAnsi"/>
          <w:b w:val="0"/>
          <w:color w:val="auto"/>
          <w:sz w:val="24"/>
          <w:szCs w:val="24"/>
          <w:lang w:val="es-AR"/>
        </w:rPr>
        <w:t xml:space="preserve">Se observan posición anormal de mano y </w:t>
      </w:r>
      <w:proofErr w:type="gramStart"/>
      <w:r w:rsidRPr="00D32120">
        <w:rPr>
          <w:rFonts w:eastAsia="Calibri" w:cstheme="minorHAnsi"/>
          <w:b w:val="0"/>
          <w:color w:val="auto"/>
          <w:sz w:val="24"/>
          <w:szCs w:val="24"/>
          <w:lang w:val="es-AR"/>
        </w:rPr>
        <w:t>pie  frecuentemente</w:t>
      </w:r>
      <w:proofErr w:type="gramEnd"/>
      <w:r w:rsidRPr="00D32120">
        <w:rPr>
          <w:rFonts w:eastAsia="Calibri" w:cstheme="minorHAnsi"/>
          <w:b w:val="0"/>
          <w:color w:val="auto"/>
          <w:sz w:val="24"/>
          <w:szCs w:val="24"/>
          <w:lang w:val="es-AR"/>
        </w:rPr>
        <w:t xml:space="preserve"> en ultrasonido fetal o en recién nacidos. </w:t>
      </w:r>
    </w:p>
    <w:p w14:paraId="7EAD2E0C" w14:textId="77777777" w:rsidR="00DD39EA" w:rsidRPr="00D32120" w:rsidRDefault="00DD39EA" w:rsidP="0039487B">
      <w:pPr>
        <w:pStyle w:val="ListParagraph"/>
        <w:numPr>
          <w:ilvl w:val="0"/>
          <w:numId w:val="26"/>
        </w:numPr>
        <w:spacing w:after="200" w:line="240" w:lineRule="auto"/>
        <w:rPr>
          <w:rFonts w:eastAsia="Calibri" w:cstheme="minorHAnsi"/>
          <w:b w:val="0"/>
          <w:color w:val="auto"/>
          <w:sz w:val="24"/>
          <w:szCs w:val="24"/>
          <w:lang w:val="es-AR"/>
        </w:rPr>
      </w:pPr>
      <w:r w:rsidRPr="00D32120">
        <w:rPr>
          <w:rFonts w:eastAsia="Calibri" w:cstheme="minorHAnsi"/>
          <w:b w:val="0"/>
          <w:color w:val="auto"/>
          <w:sz w:val="24"/>
          <w:szCs w:val="24"/>
          <w:lang w:val="es-AR"/>
        </w:rPr>
        <w:t xml:space="preserve">Aumento de partos asistidos o por cesárea. </w:t>
      </w:r>
    </w:p>
    <w:p w14:paraId="54CC6FD4" w14:textId="77777777" w:rsidR="00DD39EA" w:rsidRPr="00D32120" w:rsidRDefault="00DD39EA" w:rsidP="0039487B">
      <w:pPr>
        <w:pStyle w:val="ListParagraph"/>
        <w:numPr>
          <w:ilvl w:val="0"/>
          <w:numId w:val="26"/>
        </w:numPr>
        <w:spacing w:after="200" w:line="240" w:lineRule="auto"/>
        <w:rPr>
          <w:rFonts w:eastAsia="Calibri" w:cstheme="minorHAnsi"/>
          <w:b w:val="0"/>
          <w:color w:val="auto"/>
          <w:sz w:val="24"/>
          <w:szCs w:val="24"/>
          <w:lang w:val="es-AR"/>
        </w:rPr>
      </w:pPr>
      <w:r w:rsidRPr="00D32120">
        <w:rPr>
          <w:rFonts w:eastAsia="Calibri" w:cstheme="minorHAnsi"/>
          <w:b w:val="0"/>
          <w:color w:val="auto"/>
          <w:sz w:val="24"/>
          <w:szCs w:val="24"/>
          <w:lang w:val="es-AR"/>
        </w:rPr>
        <w:t>Incremento de nacimientos prematuros o fuera de término.</w:t>
      </w:r>
    </w:p>
    <w:p w14:paraId="41EB0064" w14:textId="77777777" w:rsidR="00DD39EA" w:rsidRPr="00D32120" w:rsidRDefault="00DD39EA" w:rsidP="0039487B">
      <w:pPr>
        <w:pStyle w:val="ListParagraph"/>
        <w:numPr>
          <w:ilvl w:val="0"/>
          <w:numId w:val="26"/>
        </w:numPr>
        <w:spacing w:after="200" w:line="240" w:lineRule="auto"/>
        <w:rPr>
          <w:rFonts w:eastAsia="Calibri" w:cstheme="minorHAnsi"/>
          <w:b w:val="0"/>
          <w:color w:val="auto"/>
          <w:sz w:val="24"/>
          <w:szCs w:val="24"/>
          <w:lang w:val="es-AR"/>
        </w:rPr>
      </w:pPr>
      <w:r w:rsidRPr="00D32120">
        <w:rPr>
          <w:rFonts w:eastAsia="Calibri" w:cstheme="minorHAnsi"/>
          <w:b w:val="0"/>
          <w:color w:val="auto"/>
          <w:sz w:val="24"/>
          <w:szCs w:val="24"/>
          <w:lang w:val="es-AR"/>
        </w:rPr>
        <w:t xml:space="preserve">Bajo peso al nacer y fuera del rango típico, y bajo respecto a hermanos. </w:t>
      </w:r>
    </w:p>
    <w:p w14:paraId="6F7AD723" w14:textId="77777777" w:rsidR="00DD39EA" w:rsidRPr="00D32120" w:rsidRDefault="00DD39EA" w:rsidP="0039487B">
      <w:pPr>
        <w:pStyle w:val="ListParagraph"/>
        <w:numPr>
          <w:ilvl w:val="0"/>
          <w:numId w:val="26"/>
        </w:numPr>
        <w:spacing w:after="200" w:line="240" w:lineRule="auto"/>
        <w:rPr>
          <w:rFonts w:eastAsia="Calibri" w:cstheme="minorHAnsi"/>
          <w:b w:val="0"/>
          <w:color w:val="auto"/>
          <w:sz w:val="24"/>
          <w:szCs w:val="24"/>
          <w:lang w:val="es-AR"/>
        </w:rPr>
      </w:pPr>
      <w:r w:rsidRPr="00D32120">
        <w:rPr>
          <w:rFonts w:eastAsia="Calibri" w:cstheme="minorHAnsi"/>
          <w:b w:val="0"/>
          <w:color w:val="auto"/>
          <w:sz w:val="24"/>
          <w:szCs w:val="24"/>
          <w:lang w:val="es-AR"/>
        </w:rPr>
        <w:t xml:space="preserve">Puntuaciones normales de Apgar. La hipotonía no siempre es reconocida desde el </w:t>
      </w:r>
      <w:proofErr w:type="gramStart"/>
      <w:r w:rsidRPr="00D32120">
        <w:rPr>
          <w:rFonts w:eastAsia="Calibri" w:cstheme="minorHAnsi"/>
          <w:b w:val="0"/>
          <w:color w:val="auto"/>
          <w:sz w:val="24"/>
          <w:szCs w:val="24"/>
          <w:lang w:val="es-AR"/>
        </w:rPr>
        <w:t>nacimiento,  pero</w:t>
      </w:r>
      <w:proofErr w:type="gramEnd"/>
      <w:r w:rsidRPr="00D32120">
        <w:rPr>
          <w:rFonts w:eastAsia="Calibri" w:cstheme="minorHAnsi"/>
          <w:b w:val="0"/>
          <w:color w:val="auto"/>
          <w:sz w:val="24"/>
          <w:szCs w:val="24"/>
          <w:lang w:val="es-AR"/>
        </w:rPr>
        <w:t xml:space="preserve"> la hipotonía típica es evidente en los primeros días luego del nacimiento. </w:t>
      </w:r>
    </w:p>
    <w:p w14:paraId="569C5F9C" w14:textId="77777777" w:rsidR="00DD39EA" w:rsidRPr="00DD39EA" w:rsidRDefault="00DD39EA" w:rsidP="0039487B">
      <w:pPr>
        <w:spacing w:after="200" w:line="240" w:lineRule="auto"/>
        <w:rPr>
          <w:rFonts w:ascii="Calibri" w:eastAsia="Calibri" w:hAnsi="Calibri" w:cs="Times New Roman"/>
          <w:b w:val="0"/>
          <w:color w:val="auto"/>
          <w:sz w:val="24"/>
          <w:szCs w:val="24"/>
          <w:lang w:val="es-AR"/>
        </w:rPr>
      </w:pPr>
    </w:p>
    <w:p w14:paraId="480CD44A" w14:textId="77777777" w:rsidR="00DD39EA" w:rsidRPr="00DD39EA" w:rsidRDefault="00DD39EA" w:rsidP="0039487B">
      <w:pPr>
        <w:spacing w:after="200" w:line="240" w:lineRule="auto"/>
        <w:rPr>
          <w:rFonts w:ascii="Calibri" w:eastAsia="Calibri" w:hAnsi="Calibri" w:cs="Times New Roman"/>
          <w:color w:val="auto"/>
          <w:szCs w:val="28"/>
          <w:lang w:val="es-AR"/>
        </w:rPr>
      </w:pPr>
      <w:proofErr w:type="gramStart"/>
      <w:r w:rsidRPr="00DD39EA">
        <w:rPr>
          <w:rFonts w:ascii="Calibri" w:eastAsia="Calibri" w:hAnsi="Calibri" w:cs="Times New Roman"/>
          <w:color w:val="auto"/>
          <w:szCs w:val="28"/>
          <w:lang w:val="es-AR"/>
        </w:rPr>
        <w:t>Sospecha  Diagnóstica</w:t>
      </w:r>
      <w:proofErr w:type="gramEnd"/>
      <w:r w:rsidRPr="00DD39EA">
        <w:rPr>
          <w:rFonts w:ascii="Calibri" w:eastAsia="Calibri" w:hAnsi="Calibri" w:cs="Times New Roman"/>
          <w:color w:val="auto"/>
          <w:szCs w:val="28"/>
          <w:lang w:val="es-AR"/>
        </w:rPr>
        <w:t xml:space="preserve">: </w:t>
      </w:r>
    </w:p>
    <w:p w14:paraId="0F3B20E2" w14:textId="77777777" w:rsidR="00697F8C" w:rsidRDefault="00DD39EA" w:rsidP="00697F8C">
      <w:pPr>
        <w:pStyle w:val="ListParagraph"/>
        <w:numPr>
          <w:ilvl w:val="0"/>
          <w:numId w:val="41"/>
        </w:numPr>
        <w:spacing w:after="200" w:line="240" w:lineRule="auto"/>
        <w:rPr>
          <w:rFonts w:ascii="Calibri" w:eastAsia="Calibri" w:hAnsi="Calibri" w:cs="Times New Roman"/>
          <w:b w:val="0"/>
          <w:color w:val="auto"/>
          <w:sz w:val="24"/>
          <w:szCs w:val="24"/>
          <w:lang w:val="es-AR"/>
        </w:rPr>
      </w:pPr>
      <w:r w:rsidRPr="00697F8C">
        <w:rPr>
          <w:rFonts w:ascii="Calibri" w:eastAsia="Calibri" w:hAnsi="Calibri" w:cs="Times New Roman"/>
          <w:b w:val="0"/>
          <w:color w:val="auto"/>
          <w:sz w:val="24"/>
          <w:szCs w:val="24"/>
          <w:lang w:val="es-AR"/>
        </w:rPr>
        <w:t xml:space="preserve">Puede ser sospechado en cualquier recién nacido con hipotonía, succión pobre, llanto débil y falta de apetito. </w:t>
      </w:r>
    </w:p>
    <w:p w14:paraId="3719CE7E" w14:textId="6A6944E8" w:rsidR="00DD39EA" w:rsidRPr="00697F8C" w:rsidRDefault="00DD39EA" w:rsidP="00697F8C">
      <w:pPr>
        <w:pStyle w:val="ListParagraph"/>
        <w:numPr>
          <w:ilvl w:val="0"/>
          <w:numId w:val="41"/>
        </w:numPr>
        <w:spacing w:after="200" w:line="240" w:lineRule="auto"/>
        <w:rPr>
          <w:rFonts w:ascii="Calibri" w:eastAsia="Calibri" w:hAnsi="Calibri" w:cs="Times New Roman"/>
          <w:b w:val="0"/>
          <w:color w:val="auto"/>
          <w:sz w:val="24"/>
          <w:szCs w:val="24"/>
          <w:lang w:val="es-AR"/>
        </w:rPr>
      </w:pPr>
      <w:r w:rsidRPr="00697F8C">
        <w:rPr>
          <w:rFonts w:ascii="Calibri" w:eastAsia="Calibri" w:hAnsi="Calibri" w:cs="Times New Roman"/>
          <w:b w:val="0"/>
          <w:color w:val="auto"/>
          <w:sz w:val="24"/>
          <w:szCs w:val="24"/>
          <w:lang w:val="es-AR"/>
        </w:rPr>
        <w:t xml:space="preserve">Los recién nacidos masculinos suelen </w:t>
      </w:r>
      <w:proofErr w:type="gramStart"/>
      <w:r w:rsidRPr="00697F8C">
        <w:rPr>
          <w:rFonts w:ascii="Calibri" w:eastAsia="Calibri" w:hAnsi="Calibri" w:cs="Times New Roman"/>
          <w:b w:val="0"/>
          <w:color w:val="auto"/>
          <w:sz w:val="24"/>
          <w:szCs w:val="24"/>
          <w:lang w:val="es-AR"/>
        </w:rPr>
        <w:t>no  tener</w:t>
      </w:r>
      <w:proofErr w:type="gramEnd"/>
      <w:r w:rsidRPr="00697F8C">
        <w:rPr>
          <w:rFonts w:ascii="Calibri" w:eastAsia="Calibri" w:hAnsi="Calibri" w:cs="Times New Roman"/>
          <w:b w:val="0"/>
          <w:color w:val="auto"/>
          <w:sz w:val="24"/>
          <w:szCs w:val="24"/>
          <w:lang w:val="es-AR"/>
        </w:rPr>
        <w:t xml:space="preserve"> los testículos descendidos y saco escrotal hipoplásico.</w:t>
      </w:r>
    </w:p>
    <w:p w14:paraId="741384CC" w14:textId="77777777" w:rsidR="00DD39EA" w:rsidRPr="00697F8C" w:rsidRDefault="00DD39EA" w:rsidP="00697F8C">
      <w:pPr>
        <w:pStyle w:val="ListParagraph"/>
        <w:numPr>
          <w:ilvl w:val="0"/>
          <w:numId w:val="41"/>
        </w:numPr>
        <w:spacing w:after="200" w:line="240" w:lineRule="auto"/>
        <w:rPr>
          <w:rFonts w:ascii="Calibri" w:eastAsia="Calibri" w:hAnsi="Calibri" w:cs="Times New Roman"/>
          <w:b w:val="0"/>
          <w:color w:val="auto"/>
          <w:sz w:val="24"/>
          <w:szCs w:val="24"/>
          <w:lang w:val="es-AR"/>
        </w:rPr>
      </w:pPr>
      <w:r w:rsidRPr="00697F8C">
        <w:rPr>
          <w:rFonts w:ascii="Calibri" w:eastAsia="Calibri" w:hAnsi="Calibri" w:cs="Times New Roman"/>
          <w:b w:val="0"/>
          <w:color w:val="auto"/>
          <w:sz w:val="24"/>
          <w:szCs w:val="24"/>
          <w:lang w:val="es-AR"/>
        </w:rPr>
        <w:t>Las recién nacidas femeninas suelen presentar labios hipoplásicos.</w:t>
      </w:r>
    </w:p>
    <w:p w14:paraId="2BDA7BD3" w14:textId="77777777" w:rsidR="00DD39EA" w:rsidRPr="00DD39EA" w:rsidRDefault="00DD39EA" w:rsidP="002C48A1">
      <w:pPr>
        <w:spacing w:after="200" w:line="240" w:lineRule="auto"/>
        <w:rPr>
          <w:rFonts w:ascii="Calibri" w:eastAsia="Calibri" w:hAnsi="Calibri" w:cs="Times New Roman"/>
          <w:b w:val="0"/>
          <w:color w:val="auto"/>
          <w:sz w:val="24"/>
          <w:szCs w:val="24"/>
          <w:lang w:val="es-AR"/>
        </w:rPr>
      </w:pPr>
      <w:r w:rsidRPr="00DD39EA">
        <w:rPr>
          <w:rFonts w:ascii="Calibri" w:eastAsia="Calibri" w:hAnsi="Calibri" w:cs="Times New Roman"/>
          <w:b w:val="0"/>
          <w:color w:val="auto"/>
          <w:sz w:val="24"/>
          <w:szCs w:val="24"/>
          <w:lang w:val="es-AR"/>
        </w:rPr>
        <w:t xml:space="preserve">Las diferencias diagnósticas para SPW en la infancia son amplias y van más allá del alcance de este documento. </w:t>
      </w:r>
    </w:p>
    <w:p w14:paraId="10C208DE" w14:textId="77777777" w:rsidR="00DD39EA" w:rsidRPr="00DD39EA" w:rsidRDefault="00DD39EA" w:rsidP="0039487B">
      <w:pPr>
        <w:spacing w:after="200" w:line="240" w:lineRule="auto"/>
        <w:rPr>
          <w:rFonts w:ascii="Calibri" w:eastAsia="Calibri" w:hAnsi="Calibri" w:cs="Times New Roman"/>
          <w:color w:val="auto"/>
          <w:szCs w:val="28"/>
          <w:lang w:val="es-AR"/>
        </w:rPr>
      </w:pPr>
      <w:r w:rsidRPr="00DD39EA">
        <w:rPr>
          <w:rFonts w:ascii="Calibri" w:eastAsia="Calibri" w:hAnsi="Calibri" w:cs="Times New Roman"/>
          <w:color w:val="auto"/>
          <w:sz w:val="24"/>
          <w:szCs w:val="24"/>
          <w:lang w:val="es-AR"/>
        </w:rPr>
        <w:t>E</w:t>
      </w:r>
      <w:r w:rsidRPr="00DD39EA">
        <w:rPr>
          <w:rFonts w:ascii="Calibri" w:eastAsia="Calibri" w:hAnsi="Calibri" w:cs="Times New Roman"/>
          <w:color w:val="auto"/>
          <w:szCs w:val="28"/>
          <w:lang w:val="es-AR"/>
        </w:rPr>
        <w:t xml:space="preserve">stablecer el diagnóstico: </w:t>
      </w:r>
    </w:p>
    <w:p w14:paraId="7EDAE8D0" w14:textId="77777777" w:rsidR="00DD39EA" w:rsidRPr="00307E25" w:rsidRDefault="00DD39EA" w:rsidP="0039487B">
      <w:pPr>
        <w:pStyle w:val="ListParagraph"/>
        <w:numPr>
          <w:ilvl w:val="0"/>
          <w:numId w:val="27"/>
        </w:numPr>
        <w:spacing w:after="200" w:line="240" w:lineRule="auto"/>
        <w:rPr>
          <w:rFonts w:ascii="Calibri" w:eastAsia="Calibri" w:hAnsi="Calibri" w:cs="Times New Roman"/>
          <w:b w:val="0"/>
          <w:color w:val="auto"/>
          <w:sz w:val="24"/>
          <w:szCs w:val="24"/>
          <w:lang w:val="es-AR"/>
        </w:rPr>
      </w:pPr>
      <w:r w:rsidRPr="00307E25">
        <w:rPr>
          <w:rFonts w:ascii="Calibri" w:eastAsia="Calibri" w:hAnsi="Calibri" w:cs="Times New Roman"/>
          <w:b w:val="0"/>
          <w:color w:val="auto"/>
          <w:sz w:val="24"/>
          <w:szCs w:val="24"/>
          <w:lang w:val="es-AR"/>
        </w:rPr>
        <w:t xml:space="preserve">Primero realizar el test genético de Metilación del </w:t>
      </w:r>
      <w:proofErr w:type="gramStart"/>
      <w:r w:rsidRPr="00307E25">
        <w:rPr>
          <w:rFonts w:ascii="Calibri" w:eastAsia="Calibri" w:hAnsi="Calibri" w:cs="Times New Roman"/>
          <w:b w:val="0"/>
          <w:color w:val="auto"/>
          <w:sz w:val="24"/>
          <w:szCs w:val="24"/>
          <w:lang w:val="es-AR"/>
        </w:rPr>
        <w:t>ADN  que</w:t>
      </w:r>
      <w:proofErr w:type="gramEnd"/>
      <w:r w:rsidRPr="00307E25">
        <w:rPr>
          <w:rFonts w:ascii="Calibri" w:eastAsia="Calibri" w:hAnsi="Calibri" w:cs="Times New Roman"/>
          <w:b w:val="0"/>
          <w:color w:val="auto"/>
          <w:sz w:val="24"/>
          <w:szCs w:val="24"/>
          <w:lang w:val="es-AR"/>
        </w:rPr>
        <w:t xml:space="preserve"> diagnostica 99% de SPW. </w:t>
      </w:r>
    </w:p>
    <w:p w14:paraId="2F226E4C" w14:textId="77777777" w:rsidR="00DD39EA" w:rsidRPr="00307E25" w:rsidRDefault="00DD39EA" w:rsidP="0039487B">
      <w:pPr>
        <w:pStyle w:val="ListParagraph"/>
        <w:numPr>
          <w:ilvl w:val="0"/>
          <w:numId w:val="27"/>
        </w:numPr>
        <w:spacing w:after="200" w:line="240" w:lineRule="auto"/>
        <w:rPr>
          <w:rFonts w:ascii="Calibri" w:eastAsia="Calibri" w:hAnsi="Calibri" w:cs="Times New Roman"/>
          <w:b w:val="0"/>
          <w:color w:val="auto"/>
          <w:sz w:val="24"/>
          <w:szCs w:val="24"/>
          <w:lang w:val="es-AR"/>
        </w:rPr>
      </w:pPr>
      <w:proofErr w:type="gramStart"/>
      <w:r w:rsidRPr="00307E25">
        <w:rPr>
          <w:rFonts w:ascii="Calibri" w:eastAsia="Calibri" w:hAnsi="Calibri" w:cs="Times New Roman"/>
          <w:b w:val="0"/>
          <w:color w:val="auto"/>
          <w:sz w:val="24"/>
          <w:szCs w:val="24"/>
          <w:lang w:val="es-AR"/>
        </w:rPr>
        <w:t>Un test</w:t>
      </w:r>
      <w:proofErr w:type="gramEnd"/>
      <w:r w:rsidRPr="00307E25">
        <w:rPr>
          <w:rFonts w:ascii="Calibri" w:eastAsia="Calibri" w:hAnsi="Calibri" w:cs="Times New Roman"/>
          <w:b w:val="0"/>
          <w:color w:val="auto"/>
          <w:sz w:val="24"/>
          <w:szCs w:val="24"/>
          <w:lang w:val="es-AR"/>
        </w:rPr>
        <w:t xml:space="preserve"> positivo para SPW confirma el diagnóstico en la mayoría de los casos, pero no determina subtipo genético subyacente. </w:t>
      </w:r>
    </w:p>
    <w:p w14:paraId="56EE2177" w14:textId="77777777" w:rsidR="00DD39EA" w:rsidRPr="00307E25" w:rsidRDefault="00DD39EA" w:rsidP="0039487B">
      <w:pPr>
        <w:pStyle w:val="ListParagraph"/>
        <w:numPr>
          <w:ilvl w:val="0"/>
          <w:numId w:val="27"/>
        </w:numPr>
        <w:spacing w:after="200" w:line="240" w:lineRule="auto"/>
        <w:rPr>
          <w:rFonts w:ascii="Calibri" w:eastAsia="Calibri" w:hAnsi="Calibri" w:cs="Times New Roman"/>
          <w:b w:val="0"/>
          <w:color w:val="auto"/>
          <w:sz w:val="24"/>
          <w:szCs w:val="24"/>
          <w:lang w:val="es-AR"/>
        </w:rPr>
      </w:pPr>
      <w:r w:rsidRPr="00307E25">
        <w:rPr>
          <w:rFonts w:ascii="Calibri" w:eastAsia="Calibri" w:hAnsi="Calibri" w:cs="Times New Roman"/>
          <w:b w:val="0"/>
          <w:color w:val="auto"/>
          <w:sz w:val="24"/>
          <w:szCs w:val="24"/>
          <w:lang w:val="es-AR"/>
        </w:rPr>
        <w:t xml:space="preserve">Determinar el subtipo genético es importante para evaluar el riesgo de recurrencia y puede ayudar en el pronóstico y manejo. </w:t>
      </w:r>
    </w:p>
    <w:p w14:paraId="0886B37E" w14:textId="77777777" w:rsidR="00DD39EA" w:rsidRPr="00307E25" w:rsidRDefault="00DD39EA" w:rsidP="0039487B">
      <w:pPr>
        <w:pStyle w:val="ListParagraph"/>
        <w:numPr>
          <w:ilvl w:val="0"/>
          <w:numId w:val="27"/>
        </w:numPr>
        <w:spacing w:after="200" w:line="240" w:lineRule="auto"/>
        <w:rPr>
          <w:rFonts w:ascii="Calibri" w:eastAsia="Calibri" w:hAnsi="Calibri" w:cs="Times New Roman"/>
          <w:b w:val="0"/>
          <w:color w:val="auto"/>
          <w:sz w:val="24"/>
          <w:szCs w:val="24"/>
          <w:lang w:val="es-AR"/>
        </w:rPr>
      </w:pPr>
      <w:r w:rsidRPr="00307E25">
        <w:rPr>
          <w:rFonts w:ascii="Calibri" w:eastAsia="Calibri" w:hAnsi="Calibri" w:cs="Times New Roman"/>
          <w:b w:val="0"/>
          <w:color w:val="auto"/>
          <w:sz w:val="24"/>
          <w:szCs w:val="24"/>
          <w:lang w:val="es-AR"/>
        </w:rPr>
        <w:t xml:space="preserve">La región del gen del SPW es muy compleja, y la mayoría de los individuos con SPW pueden tener de una a tres diferencias (clases moleculares) en la región como una causa de su SPW (deleción paterna del cromosoma 15, disomía </w:t>
      </w:r>
      <w:proofErr w:type="spellStart"/>
      <w:r w:rsidRPr="00307E25">
        <w:rPr>
          <w:rFonts w:ascii="Calibri" w:eastAsia="Calibri" w:hAnsi="Calibri" w:cs="Times New Roman"/>
          <w:b w:val="0"/>
          <w:color w:val="auto"/>
          <w:sz w:val="24"/>
          <w:szCs w:val="24"/>
          <w:lang w:val="es-AR"/>
        </w:rPr>
        <w:t>uniparental</w:t>
      </w:r>
      <w:proofErr w:type="spellEnd"/>
      <w:r w:rsidRPr="00307E25">
        <w:rPr>
          <w:rFonts w:ascii="Calibri" w:eastAsia="Calibri" w:hAnsi="Calibri" w:cs="Times New Roman"/>
          <w:b w:val="0"/>
          <w:color w:val="auto"/>
          <w:sz w:val="24"/>
          <w:szCs w:val="24"/>
          <w:lang w:val="es-AR"/>
        </w:rPr>
        <w:t xml:space="preserve"> materna 15 o defecto del </w:t>
      </w:r>
      <w:proofErr w:type="spellStart"/>
      <w:r w:rsidRPr="00307E25">
        <w:rPr>
          <w:rFonts w:ascii="Calibri" w:eastAsia="Calibri" w:hAnsi="Calibri" w:cs="Times New Roman"/>
          <w:b w:val="0"/>
          <w:color w:val="auto"/>
          <w:sz w:val="24"/>
          <w:szCs w:val="24"/>
          <w:lang w:val="es-AR"/>
        </w:rPr>
        <w:t>imprinting</w:t>
      </w:r>
      <w:proofErr w:type="spellEnd"/>
      <w:r w:rsidRPr="00307E25">
        <w:rPr>
          <w:rFonts w:ascii="Calibri" w:eastAsia="Calibri" w:hAnsi="Calibri" w:cs="Times New Roman"/>
          <w:b w:val="0"/>
          <w:color w:val="auto"/>
          <w:sz w:val="24"/>
          <w:szCs w:val="24"/>
          <w:lang w:val="es-AR"/>
        </w:rPr>
        <w:t xml:space="preserve">), se recomienda que se hagan al menos </w:t>
      </w:r>
      <w:proofErr w:type="gramStart"/>
      <w:r w:rsidRPr="00307E25">
        <w:rPr>
          <w:rFonts w:ascii="Calibri" w:eastAsia="Calibri" w:hAnsi="Calibri" w:cs="Times New Roman"/>
          <w:b w:val="0"/>
          <w:color w:val="auto"/>
          <w:sz w:val="24"/>
          <w:szCs w:val="24"/>
          <w:lang w:val="es-AR"/>
        </w:rPr>
        <w:t>dos test</w:t>
      </w:r>
      <w:proofErr w:type="gramEnd"/>
      <w:r w:rsidRPr="00307E25">
        <w:rPr>
          <w:rFonts w:ascii="Calibri" w:eastAsia="Calibri" w:hAnsi="Calibri" w:cs="Times New Roman"/>
          <w:b w:val="0"/>
          <w:color w:val="auto"/>
          <w:sz w:val="24"/>
          <w:szCs w:val="24"/>
          <w:lang w:val="es-AR"/>
        </w:rPr>
        <w:t xml:space="preserve"> genéticos para asegurar el diagnóstico preciso. </w:t>
      </w:r>
    </w:p>
    <w:p w14:paraId="32A09369" w14:textId="77777777" w:rsidR="00DD39EA" w:rsidRPr="00307E25" w:rsidRDefault="00DD39EA" w:rsidP="0039487B">
      <w:pPr>
        <w:pStyle w:val="ListParagraph"/>
        <w:numPr>
          <w:ilvl w:val="0"/>
          <w:numId w:val="27"/>
        </w:numPr>
        <w:spacing w:after="200" w:line="240" w:lineRule="auto"/>
        <w:rPr>
          <w:rFonts w:ascii="Calibri" w:eastAsia="Calibri" w:hAnsi="Calibri" w:cs="Times New Roman"/>
          <w:b w:val="0"/>
          <w:color w:val="auto"/>
          <w:sz w:val="24"/>
          <w:szCs w:val="24"/>
          <w:lang w:val="es-AR"/>
        </w:rPr>
      </w:pPr>
      <w:r w:rsidRPr="00307E25">
        <w:rPr>
          <w:rFonts w:ascii="Calibri" w:eastAsia="Calibri" w:hAnsi="Calibri" w:cs="Times New Roman"/>
          <w:b w:val="0"/>
          <w:color w:val="auto"/>
          <w:sz w:val="24"/>
          <w:szCs w:val="24"/>
          <w:lang w:val="es-AR"/>
        </w:rPr>
        <w:t xml:space="preserve">Comenzar con un </w:t>
      </w:r>
      <w:proofErr w:type="spellStart"/>
      <w:r w:rsidRPr="00307E25">
        <w:rPr>
          <w:rFonts w:ascii="Calibri" w:eastAsia="Calibri" w:hAnsi="Calibri" w:cs="Times New Roman"/>
          <w:b w:val="0"/>
          <w:color w:val="auto"/>
          <w:sz w:val="24"/>
          <w:szCs w:val="24"/>
          <w:lang w:val="es-AR"/>
        </w:rPr>
        <w:t>microarray</w:t>
      </w:r>
      <w:proofErr w:type="spellEnd"/>
      <w:r w:rsidRPr="00307E25">
        <w:rPr>
          <w:rFonts w:ascii="Calibri" w:eastAsia="Calibri" w:hAnsi="Calibri" w:cs="Times New Roman"/>
          <w:b w:val="0"/>
          <w:color w:val="FF0000"/>
          <w:sz w:val="24"/>
          <w:szCs w:val="24"/>
          <w:lang w:val="es-AR"/>
        </w:rPr>
        <w:t xml:space="preserve"> </w:t>
      </w:r>
      <w:r w:rsidRPr="00307E25">
        <w:rPr>
          <w:rFonts w:ascii="Calibri" w:eastAsia="Calibri" w:hAnsi="Calibri" w:cs="Times New Roman"/>
          <w:b w:val="0"/>
          <w:color w:val="auto"/>
          <w:sz w:val="24"/>
          <w:szCs w:val="24"/>
          <w:lang w:val="es-AR"/>
        </w:rPr>
        <w:t xml:space="preserve">cromosómico (preferentemente un </w:t>
      </w:r>
      <w:proofErr w:type="spellStart"/>
      <w:r w:rsidRPr="00307E25">
        <w:rPr>
          <w:rFonts w:ascii="Calibri" w:eastAsia="Calibri" w:hAnsi="Calibri" w:cs="Times New Roman"/>
          <w:b w:val="0"/>
          <w:color w:val="auto"/>
          <w:sz w:val="24"/>
          <w:szCs w:val="24"/>
          <w:lang w:val="es-AR"/>
        </w:rPr>
        <w:t>oligo</w:t>
      </w:r>
      <w:proofErr w:type="spellEnd"/>
      <w:r w:rsidRPr="00307E25">
        <w:rPr>
          <w:rFonts w:ascii="Calibri" w:eastAsia="Calibri" w:hAnsi="Calibri" w:cs="Times New Roman"/>
          <w:b w:val="0"/>
          <w:color w:val="auto"/>
          <w:sz w:val="24"/>
          <w:szCs w:val="24"/>
          <w:lang w:val="es-AR"/>
        </w:rPr>
        <w:t xml:space="preserve"> SNP array),</w:t>
      </w:r>
      <w:r w:rsidRPr="00307E25">
        <w:rPr>
          <w:rFonts w:ascii="Calibri" w:eastAsia="Calibri" w:hAnsi="Calibri" w:cs="Times New Roman"/>
          <w:b w:val="0"/>
          <w:color w:val="FF0000"/>
          <w:sz w:val="24"/>
          <w:szCs w:val="24"/>
          <w:lang w:val="es-AR"/>
        </w:rPr>
        <w:t xml:space="preserve"> </w:t>
      </w:r>
      <w:r w:rsidRPr="00307E25">
        <w:rPr>
          <w:rFonts w:ascii="Calibri" w:eastAsia="Calibri" w:hAnsi="Calibri" w:cs="Times New Roman"/>
          <w:b w:val="0"/>
          <w:color w:val="auto"/>
          <w:sz w:val="24"/>
          <w:szCs w:val="24"/>
          <w:lang w:val="es-AR"/>
        </w:rPr>
        <w:t xml:space="preserve">que determinará la clase de deleción y tamaño, así como las microdeleciones que </w:t>
      </w:r>
      <w:proofErr w:type="spellStart"/>
      <w:r w:rsidRPr="00307E25">
        <w:rPr>
          <w:rFonts w:ascii="Calibri" w:eastAsia="Calibri" w:hAnsi="Calibri" w:cs="Times New Roman"/>
          <w:b w:val="0"/>
          <w:color w:val="auto"/>
          <w:sz w:val="24"/>
          <w:szCs w:val="24"/>
          <w:lang w:val="es-AR"/>
        </w:rPr>
        <w:t>inlcuyen</w:t>
      </w:r>
      <w:proofErr w:type="spellEnd"/>
      <w:r w:rsidRPr="00307E25">
        <w:rPr>
          <w:rFonts w:ascii="Calibri" w:eastAsia="Calibri" w:hAnsi="Calibri" w:cs="Times New Roman"/>
          <w:b w:val="0"/>
          <w:color w:val="auto"/>
          <w:sz w:val="24"/>
          <w:szCs w:val="24"/>
          <w:lang w:val="es-AR"/>
        </w:rPr>
        <w:t xml:space="preserve"> SNORD116 locus y el 70% de las disomías </w:t>
      </w:r>
      <w:proofErr w:type="spellStart"/>
      <w:r w:rsidRPr="00307E25">
        <w:rPr>
          <w:rFonts w:ascii="Calibri" w:eastAsia="Calibri" w:hAnsi="Calibri" w:cs="Times New Roman"/>
          <w:b w:val="0"/>
          <w:color w:val="auto"/>
          <w:sz w:val="24"/>
          <w:szCs w:val="24"/>
          <w:lang w:val="es-AR"/>
        </w:rPr>
        <w:t>uniparentales</w:t>
      </w:r>
      <w:proofErr w:type="spellEnd"/>
      <w:r w:rsidRPr="00307E25">
        <w:rPr>
          <w:rFonts w:ascii="Calibri" w:eastAsia="Calibri" w:hAnsi="Calibri" w:cs="Times New Roman"/>
          <w:b w:val="0"/>
          <w:color w:val="auto"/>
          <w:sz w:val="24"/>
          <w:szCs w:val="24"/>
          <w:lang w:val="es-AR"/>
        </w:rPr>
        <w:t xml:space="preserve"> 15.</w:t>
      </w:r>
    </w:p>
    <w:p w14:paraId="5543E42E" w14:textId="77777777" w:rsidR="00DD39EA" w:rsidRPr="00307E25" w:rsidRDefault="00DD39EA" w:rsidP="0039487B">
      <w:pPr>
        <w:pStyle w:val="ListParagraph"/>
        <w:numPr>
          <w:ilvl w:val="0"/>
          <w:numId w:val="27"/>
        </w:numPr>
        <w:spacing w:after="200" w:line="240" w:lineRule="auto"/>
        <w:rPr>
          <w:rFonts w:ascii="Calibri" w:eastAsia="Calibri" w:hAnsi="Calibri" w:cs="Times New Roman"/>
          <w:b w:val="0"/>
          <w:color w:val="auto"/>
          <w:sz w:val="24"/>
          <w:szCs w:val="24"/>
          <w:lang w:val="es-AR"/>
        </w:rPr>
      </w:pPr>
      <w:r w:rsidRPr="00307E25">
        <w:rPr>
          <w:rFonts w:ascii="Calibri" w:eastAsia="Calibri" w:hAnsi="Calibri" w:cs="Times New Roman"/>
          <w:b w:val="0"/>
          <w:color w:val="auto"/>
          <w:sz w:val="24"/>
          <w:szCs w:val="24"/>
          <w:lang w:val="es-AR"/>
        </w:rPr>
        <w:t xml:space="preserve">FISH, si el </w:t>
      </w:r>
      <w:proofErr w:type="spellStart"/>
      <w:r w:rsidRPr="00307E25">
        <w:rPr>
          <w:rFonts w:ascii="Calibri" w:eastAsia="Calibri" w:hAnsi="Calibri" w:cs="Times New Roman"/>
          <w:b w:val="0"/>
          <w:color w:val="auto"/>
          <w:sz w:val="24"/>
          <w:szCs w:val="24"/>
          <w:lang w:val="es-AR"/>
        </w:rPr>
        <w:t>microarray</w:t>
      </w:r>
      <w:proofErr w:type="spellEnd"/>
      <w:r w:rsidRPr="00307E25">
        <w:rPr>
          <w:rFonts w:ascii="Calibri" w:eastAsia="Calibri" w:hAnsi="Calibri" w:cs="Times New Roman"/>
          <w:b w:val="0"/>
          <w:color w:val="auto"/>
          <w:sz w:val="24"/>
          <w:szCs w:val="24"/>
          <w:lang w:val="es-AR"/>
        </w:rPr>
        <w:t xml:space="preserve"> cromosómico no está disponible, confirmará una deleción presente, pero no revelará tamaño de la deleción y no detectará disomía </w:t>
      </w:r>
      <w:proofErr w:type="spellStart"/>
      <w:r w:rsidRPr="00307E25">
        <w:rPr>
          <w:rFonts w:ascii="Calibri" w:eastAsia="Calibri" w:hAnsi="Calibri" w:cs="Times New Roman"/>
          <w:b w:val="0"/>
          <w:color w:val="auto"/>
          <w:sz w:val="24"/>
          <w:szCs w:val="24"/>
          <w:lang w:val="es-AR"/>
        </w:rPr>
        <w:t>uniparental</w:t>
      </w:r>
      <w:proofErr w:type="spellEnd"/>
      <w:r w:rsidRPr="00307E25">
        <w:rPr>
          <w:rFonts w:ascii="Calibri" w:eastAsia="Calibri" w:hAnsi="Calibri" w:cs="Times New Roman"/>
          <w:b w:val="0"/>
          <w:color w:val="auto"/>
          <w:sz w:val="24"/>
          <w:szCs w:val="24"/>
          <w:lang w:val="es-AR"/>
        </w:rPr>
        <w:t xml:space="preserve"> 15 o falla de </w:t>
      </w:r>
      <w:proofErr w:type="spellStart"/>
      <w:r w:rsidRPr="00307E25">
        <w:rPr>
          <w:rFonts w:ascii="Calibri" w:eastAsia="Calibri" w:hAnsi="Calibri" w:cs="Times New Roman"/>
          <w:b w:val="0"/>
          <w:color w:val="auto"/>
          <w:sz w:val="24"/>
          <w:szCs w:val="24"/>
          <w:lang w:val="es-AR"/>
        </w:rPr>
        <w:t>imprinting</w:t>
      </w:r>
      <w:proofErr w:type="spellEnd"/>
      <w:r w:rsidRPr="00307E25">
        <w:rPr>
          <w:rFonts w:ascii="Calibri" w:eastAsia="Calibri" w:hAnsi="Calibri" w:cs="Times New Roman"/>
          <w:b w:val="0"/>
          <w:color w:val="auto"/>
          <w:sz w:val="24"/>
          <w:szCs w:val="24"/>
          <w:lang w:val="es-AR"/>
        </w:rPr>
        <w:t xml:space="preserve">. </w:t>
      </w:r>
    </w:p>
    <w:p w14:paraId="2895AC07" w14:textId="77777777" w:rsidR="00DD39EA" w:rsidRPr="00307E25" w:rsidRDefault="00DD39EA" w:rsidP="0039487B">
      <w:pPr>
        <w:pStyle w:val="ListParagraph"/>
        <w:numPr>
          <w:ilvl w:val="0"/>
          <w:numId w:val="27"/>
        </w:numPr>
        <w:spacing w:after="200" w:line="240" w:lineRule="auto"/>
        <w:rPr>
          <w:rFonts w:ascii="Calibri" w:eastAsia="Calibri" w:hAnsi="Calibri" w:cs="Times New Roman"/>
          <w:b w:val="0"/>
          <w:color w:val="000000"/>
          <w:sz w:val="24"/>
          <w:szCs w:val="24"/>
          <w:lang w:val="es-AR"/>
        </w:rPr>
      </w:pPr>
      <w:r w:rsidRPr="00307E25">
        <w:rPr>
          <w:rFonts w:ascii="Calibri" w:eastAsia="Calibri" w:hAnsi="Calibri" w:cs="Times New Roman"/>
          <w:b w:val="0"/>
          <w:color w:val="auto"/>
          <w:sz w:val="24"/>
          <w:szCs w:val="24"/>
          <w:lang w:val="es-AR"/>
        </w:rPr>
        <w:t xml:space="preserve">Si la metilación del </w:t>
      </w:r>
      <w:proofErr w:type="gramStart"/>
      <w:r w:rsidRPr="00307E25">
        <w:rPr>
          <w:rFonts w:ascii="Calibri" w:eastAsia="Calibri" w:hAnsi="Calibri" w:cs="Times New Roman"/>
          <w:b w:val="0"/>
          <w:color w:val="auto"/>
          <w:sz w:val="24"/>
          <w:szCs w:val="24"/>
          <w:lang w:val="es-AR"/>
        </w:rPr>
        <w:t>ADN  o</w:t>
      </w:r>
      <w:proofErr w:type="gramEnd"/>
      <w:r w:rsidRPr="00307E25">
        <w:rPr>
          <w:rFonts w:ascii="Calibri" w:eastAsia="Calibri" w:hAnsi="Calibri" w:cs="Times New Roman"/>
          <w:b w:val="0"/>
          <w:color w:val="auto"/>
          <w:sz w:val="24"/>
          <w:szCs w:val="24"/>
          <w:lang w:val="es-AR"/>
        </w:rPr>
        <w:t xml:space="preserve"> </w:t>
      </w:r>
      <w:proofErr w:type="spellStart"/>
      <w:r w:rsidRPr="00307E25">
        <w:rPr>
          <w:rFonts w:ascii="Calibri" w:eastAsia="Calibri" w:hAnsi="Calibri" w:cs="Times New Roman"/>
          <w:b w:val="0"/>
          <w:color w:val="auto"/>
          <w:sz w:val="24"/>
          <w:szCs w:val="24"/>
          <w:lang w:val="es-AR"/>
        </w:rPr>
        <w:t>microarray</w:t>
      </w:r>
      <w:proofErr w:type="spellEnd"/>
      <w:r w:rsidRPr="00307E25">
        <w:rPr>
          <w:rFonts w:ascii="Calibri" w:eastAsia="Calibri" w:hAnsi="Calibri" w:cs="Times New Roman"/>
          <w:b w:val="0"/>
          <w:color w:val="auto"/>
          <w:sz w:val="24"/>
          <w:szCs w:val="24"/>
          <w:lang w:val="es-AR"/>
        </w:rPr>
        <w:t xml:space="preserve"> son normales, considerar mutaciones por  MAGEL2 y hacer análisis para el  síndrome de </w:t>
      </w:r>
      <w:proofErr w:type="spellStart"/>
      <w:r w:rsidRPr="00307E25">
        <w:rPr>
          <w:rFonts w:ascii="Calibri" w:eastAsia="Calibri" w:hAnsi="Calibri" w:cs="Times New Roman"/>
          <w:b w:val="0"/>
          <w:color w:val="auto"/>
          <w:sz w:val="24"/>
          <w:szCs w:val="24"/>
          <w:lang w:val="es-AR"/>
        </w:rPr>
        <w:t>Schaaf</w:t>
      </w:r>
      <w:proofErr w:type="spellEnd"/>
      <w:r w:rsidRPr="00307E25">
        <w:rPr>
          <w:rFonts w:ascii="Calibri" w:eastAsia="Calibri" w:hAnsi="Calibri" w:cs="Times New Roman"/>
          <w:b w:val="0"/>
          <w:color w:val="auto"/>
          <w:sz w:val="24"/>
          <w:szCs w:val="24"/>
          <w:lang w:val="es-AR"/>
        </w:rPr>
        <w:t>-Yang,</w:t>
      </w:r>
      <w:r w:rsidRPr="00307E25">
        <w:rPr>
          <w:rFonts w:ascii="Calibri" w:eastAsia="Calibri" w:hAnsi="Calibri" w:cs="Times New Roman"/>
          <w:b w:val="0"/>
          <w:color w:val="FF0000"/>
          <w:sz w:val="24"/>
          <w:szCs w:val="24"/>
          <w:lang w:val="es-AR"/>
        </w:rPr>
        <w:t xml:space="preserve"> </w:t>
      </w:r>
      <w:r w:rsidRPr="00307E25">
        <w:rPr>
          <w:rFonts w:ascii="Calibri" w:eastAsia="Calibri" w:hAnsi="Calibri" w:cs="Times New Roman"/>
          <w:b w:val="0"/>
          <w:color w:val="000000"/>
          <w:sz w:val="24"/>
          <w:szCs w:val="24"/>
          <w:lang w:val="es-AR"/>
        </w:rPr>
        <w:t xml:space="preserve">así como el </w:t>
      </w:r>
      <w:proofErr w:type="spellStart"/>
      <w:r w:rsidRPr="00307E25">
        <w:rPr>
          <w:rFonts w:ascii="Calibri" w:eastAsia="Calibri" w:hAnsi="Calibri" w:cs="Times New Roman"/>
          <w:b w:val="0"/>
          <w:color w:val="000000"/>
          <w:sz w:val="24"/>
          <w:szCs w:val="24"/>
          <w:lang w:val="es-AR"/>
        </w:rPr>
        <w:t>mosaiquismo</w:t>
      </w:r>
      <w:proofErr w:type="spellEnd"/>
      <w:r w:rsidRPr="00307E25">
        <w:rPr>
          <w:rFonts w:ascii="Calibri" w:eastAsia="Calibri" w:hAnsi="Calibri" w:cs="Times New Roman"/>
          <w:b w:val="0"/>
          <w:color w:val="000000"/>
          <w:sz w:val="24"/>
          <w:szCs w:val="24"/>
          <w:lang w:val="es-AR"/>
        </w:rPr>
        <w:t xml:space="preserve"> y otras causas genéticas de hipotonía. </w:t>
      </w:r>
    </w:p>
    <w:p w14:paraId="10F550ED" w14:textId="77777777" w:rsidR="00DD39EA" w:rsidRPr="00307E25" w:rsidRDefault="00DD39EA" w:rsidP="0039487B">
      <w:pPr>
        <w:pStyle w:val="ListParagraph"/>
        <w:numPr>
          <w:ilvl w:val="0"/>
          <w:numId w:val="27"/>
        </w:numPr>
        <w:spacing w:after="200" w:line="240" w:lineRule="auto"/>
        <w:rPr>
          <w:rFonts w:ascii="Calibri" w:eastAsia="Calibri" w:hAnsi="Calibri" w:cs="Times New Roman"/>
          <w:b w:val="0"/>
          <w:color w:val="000000"/>
          <w:sz w:val="24"/>
          <w:szCs w:val="24"/>
          <w:lang w:val="es-AR"/>
        </w:rPr>
      </w:pPr>
      <w:r w:rsidRPr="00307E25">
        <w:rPr>
          <w:rFonts w:ascii="Calibri" w:eastAsia="Calibri" w:hAnsi="Calibri" w:cs="Times New Roman"/>
          <w:b w:val="0"/>
          <w:color w:val="000000"/>
          <w:sz w:val="24"/>
          <w:szCs w:val="24"/>
          <w:lang w:val="es-AR"/>
        </w:rPr>
        <w:t xml:space="preserve">Los análisis de metilación por PCR no son típicamente cuantitativos y pueden </w:t>
      </w:r>
      <w:proofErr w:type="gramStart"/>
      <w:r w:rsidRPr="00307E25">
        <w:rPr>
          <w:rFonts w:ascii="Calibri" w:eastAsia="Calibri" w:hAnsi="Calibri" w:cs="Times New Roman"/>
          <w:b w:val="0"/>
          <w:color w:val="000000"/>
          <w:sz w:val="24"/>
          <w:szCs w:val="24"/>
          <w:lang w:val="es-AR"/>
        </w:rPr>
        <w:t>perder  condiciones</w:t>
      </w:r>
      <w:proofErr w:type="gramEnd"/>
      <w:r w:rsidRPr="00307E25">
        <w:rPr>
          <w:rFonts w:ascii="Calibri" w:eastAsia="Calibri" w:hAnsi="Calibri" w:cs="Times New Roman"/>
          <w:b w:val="0"/>
          <w:color w:val="000000"/>
          <w:sz w:val="24"/>
          <w:szCs w:val="24"/>
          <w:lang w:val="es-AR"/>
        </w:rPr>
        <w:t xml:space="preserve"> de mosaicos relacionadas con el cromosoma 15. </w:t>
      </w:r>
    </w:p>
    <w:p w14:paraId="2E2E5968" w14:textId="77777777" w:rsidR="00DD39EA" w:rsidRPr="00DD39EA" w:rsidRDefault="00DD39EA" w:rsidP="0039487B">
      <w:pPr>
        <w:spacing w:after="200" w:line="240" w:lineRule="auto"/>
        <w:rPr>
          <w:rFonts w:ascii="Calibri" w:eastAsia="Calibri" w:hAnsi="Calibri" w:cs="Times New Roman"/>
          <w:b w:val="0"/>
          <w:color w:val="000000"/>
          <w:sz w:val="24"/>
          <w:szCs w:val="24"/>
          <w:lang w:val="es-AR"/>
        </w:rPr>
      </w:pPr>
      <w:r w:rsidRPr="00DD39EA">
        <w:rPr>
          <w:rFonts w:ascii="Calibri" w:eastAsia="Calibri" w:hAnsi="Calibri" w:cs="Times New Roman"/>
          <w:b w:val="0"/>
          <w:color w:val="000000"/>
          <w:sz w:val="24"/>
          <w:szCs w:val="24"/>
          <w:lang w:val="es-AR"/>
        </w:rPr>
        <w:t>De todas maneras, si el diagnóstico es todavía sospechoso se pueden considerar otras opciones cuantitativas como el método MS- MLPA.</w:t>
      </w:r>
    </w:p>
    <w:p w14:paraId="0E25B846" w14:textId="77777777" w:rsidR="00DD39EA" w:rsidRPr="00DD39EA" w:rsidRDefault="00DD39EA" w:rsidP="0039487B">
      <w:pPr>
        <w:spacing w:after="200" w:line="240" w:lineRule="auto"/>
        <w:rPr>
          <w:rFonts w:ascii="Calibri" w:eastAsia="Calibri" w:hAnsi="Calibri" w:cs="Times New Roman"/>
          <w:color w:val="000000"/>
          <w:szCs w:val="28"/>
          <w:lang w:val="es-AR"/>
        </w:rPr>
      </w:pPr>
      <w:r w:rsidRPr="00DD39EA">
        <w:rPr>
          <w:rFonts w:ascii="Calibri" w:eastAsia="Calibri" w:hAnsi="Calibri" w:cs="Times New Roman"/>
          <w:color w:val="000000"/>
          <w:szCs w:val="28"/>
          <w:lang w:val="es-AR"/>
        </w:rPr>
        <w:t xml:space="preserve">Asesoramiento genético: </w:t>
      </w:r>
    </w:p>
    <w:p w14:paraId="581B09BA" w14:textId="77777777" w:rsidR="00DD39EA" w:rsidRPr="00165D89" w:rsidRDefault="00DD39EA" w:rsidP="0039487B">
      <w:pPr>
        <w:pStyle w:val="ListParagraph"/>
        <w:numPr>
          <w:ilvl w:val="0"/>
          <w:numId w:val="28"/>
        </w:numPr>
        <w:spacing w:after="200" w:line="240" w:lineRule="auto"/>
        <w:rPr>
          <w:rFonts w:ascii="Calibri" w:eastAsia="Calibri" w:hAnsi="Calibri" w:cs="Calibri"/>
          <w:b w:val="0"/>
          <w:color w:val="000000"/>
          <w:sz w:val="24"/>
          <w:szCs w:val="24"/>
          <w:lang w:val="es-AR"/>
        </w:rPr>
      </w:pPr>
      <w:r w:rsidRPr="00165D89">
        <w:rPr>
          <w:rFonts w:ascii="Calibri" w:eastAsia="Calibri" w:hAnsi="Calibri" w:cs="Times New Roman"/>
          <w:b w:val="0"/>
          <w:color w:val="000000"/>
          <w:sz w:val="24"/>
          <w:szCs w:val="24"/>
          <w:lang w:val="es-AR"/>
        </w:rPr>
        <w:t xml:space="preserve">Determinar clases y subclases moleculares lo antes posibles. Se puede ver en </w:t>
      </w:r>
      <w:r w:rsidRPr="00165D89">
        <w:rPr>
          <w:rFonts w:ascii="Calibri" w:eastAsia="Calibri" w:hAnsi="Calibri" w:cs="Calibri"/>
          <w:b w:val="0"/>
          <w:color w:val="000000"/>
          <w:sz w:val="24"/>
          <w:szCs w:val="24"/>
          <w:lang w:val="es-AR"/>
        </w:rPr>
        <w:t xml:space="preserve">Revisiones Genéticas: </w:t>
      </w:r>
      <w:hyperlink r:id="rId14" w:history="1">
        <w:r w:rsidRPr="00165D89">
          <w:rPr>
            <w:rFonts w:ascii="Calibri" w:eastAsia="Calibri" w:hAnsi="Calibri" w:cs="Calibri"/>
            <w:b w:val="0"/>
            <w:color w:val="0000FF"/>
            <w:sz w:val="24"/>
            <w:szCs w:val="24"/>
            <w:u w:val="single"/>
            <w:lang w:val="es-AR"/>
          </w:rPr>
          <w:t>https://www.ncbi.nlm.nih.gov/books/NBK1330/</w:t>
        </w:r>
      </w:hyperlink>
    </w:p>
    <w:p w14:paraId="20511C88" w14:textId="77777777" w:rsidR="00DD39EA" w:rsidRPr="00165D89" w:rsidRDefault="00DD39EA" w:rsidP="0039487B">
      <w:pPr>
        <w:pStyle w:val="ListParagraph"/>
        <w:numPr>
          <w:ilvl w:val="0"/>
          <w:numId w:val="28"/>
        </w:numPr>
        <w:spacing w:after="200" w:line="240" w:lineRule="auto"/>
        <w:rPr>
          <w:rFonts w:ascii="Calibri" w:eastAsia="Calibri" w:hAnsi="Calibri" w:cs="Times New Roman"/>
          <w:b w:val="0"/>
          <w:color w:val="000000"/>
          <w:sz w:val="24"/>
          <w:szCs w:val="24"/>
          <w:lang w:val="es-AR"/>
        </w:rPr>
      </w:pPr>
      <w:r w:rsidRPr="00165D89">
        <w:rPr>
          <w:rFonts w:ascii="Calibri" w:eastAsia="Calibri" w:hAnsi="Calibri" w:cs="Times New Roman"/>
          <w:b w:val="0"/>
          <w:color w:val="000000"/>
          <w:sz w:val="24"/>
          <w:szCs w:val="24"/>
          <w:lang w:val="es-AR"/>
        </w:rPr>
        <w:t>Médicos genetistas expertos en SPW, deben ser consultados tempranamente para establecer el diagnóstico, la clase molecular y comenzar el asesoramiento genético.</w:t>
      </w:r>
    </w:p>
    <w:p w14:paraId="62C05FD3" w14:textId="77777777" w:rsidR="00DD39EA" w:rsidRPr="00165D89" w:rsidRDefault="00DD39EA" w:rsidP="0039487B">
      <w:pPr>
        <w:pStyle w:val="ListParagraph"/>
        <w:numPr>
          <w:ilvl w:val="0"/>
          <w:numId w:val="28"/>
        </w:numPr>
        <w:spacing w:after="200" w:line="240" w:lineRule="auto"/>
        <w:rPr>
          <w:rFonts w:ascii="Calibri" w:eastAsia="Calibri" w:hAnsi="Calibri" w:cs="Times New Roman"/>
          <w:b w:val="0"/>
          <w:color w:val="000000"/>
          <w:sz w:val="24"/>
          <w:szCs w:val="24"/>
          <w:lang w:val="es-AR"/>
        </w:rPr>
      </w:pPr>
      <w:r w:rsidRPr="00165D89">
        <w:rPr>
          <w:rFonts w:ascii="Calibri" w:eastAsia="Calibri" w:hAnsi="Calibri" w:cs="Times New Roman"/>
          <w:b w:val="0"/>
          <w:color w:val="000000"/>
          <w:sz w:val="24"/>
          <w:szCs w:val="24"/>
          <w:lang w:val="es-AR"/>
        </w:rPr>
        <w:t>Advertir acerca del riesgo recurrente (frecuentemente 1%, pero puede ser más alto como del 50-100% en casos muy raros).</w:t>
      </w:r>
    </w:p>
    <w:p w14:paraId="09291A5E" w14:textId="77777777" w:rsidR="00DD39EA" w:rsidRPr="00165D89" w:rsidRDefault="00DD39EA" w:rsidP="0039487B">
      <w:pPr>
        <w:pStyle w:val="ListParagraph"/>
        <w:numPr>
          <w:ilvl w:val="0"/>
          <w:numId w:val="28"/>
        </w:numPr>
        <w:spacing w:after="200" w:line="240" w:lineRule="auto"/>
        <w:rPr>
          <w:rFonts w:ascii="Calibri" w:eastAsia="Calibri" w:hAnsi="Calibri" w:cs="Times New Roman"/>
          <w:b w:val="0"/>
          <w:color w:val="000000"/>
          <w:sz w:val="24"/>
          <w:szCs w:val="24"/>
          <w:lang w:val="es-AR"/>
        </w:rPr>
      </w:pPr>
      <w:r w:rsidRPr="00165D89">
        <w:rPr>
          <w:rFonts w:ascii="Calibri" w:eastAsia="Calibri" w:hAnsi="Calibri" w:cs="Times New Roman"/>
          <w:b w:val="0"/>
          <w:color w:val="000000"/>
          <w:sz w:val="24"/>
          <w:szCs w:val="24"/>
          <w:lang w:val="es-AR"/>
        </w:rPr>
        <w:t xml:space="preserve">Advertir que el diagnóstico prenatal puede estar disponible en futuros embarazos. </w:t>
      </w:r>
    </w:p>
    <w:p w14:paraId="5B0273C1" w14:textId="77777777" w:rsidR="00DD39EA" w:rsidRPr="00DD39EA" w:rsidRDefault="00DD39EA" w:rsidP="0039487B">
      <w:pPr>
        <w:spacing w:after="200" w:line="240" w:lineRule="auto"/>
        <w:rPr>
          <w:rFonts w:ascii="Calibri" w:eastAsia="Calibri" w:hAnsi="Calibri" w:cs="Times New Roman"/>
          <w:color w:val="000000"/>
          <w:szCs w:val="28"/>
          <w:lang w:val="es-AR"/>
        </w:rPr>
      </w:pPr>
      <w:r w:rsidRPr="00DD39EA">
        <w:rPr>
          <w:rFonts w:ascii="Calibri" w:eastAsia="Calibri" w:hAnsi="Calibri" w:cs="Times New Roman"/>
          <w:color w:val="000000"/>
          <w:szCs w:val="28"/>
          <w:lang w:val="es-AR"/>
        </w:rPr>
        <w:t xml:space="preserve">Fases nutricionales: </w:t>
      </w:r>
    </w:p>
    <w:p w14:paraId="081FA89B" w14:textId="77777777" w:rsidR="00DD39EA" w:rsidRPr="00165D89" w:rsidRDefault="00DD39EA" w:rsidP="0039487B">
      <w:pPr>
        <w:pStyle w:val="ListParagraph"/>
        <w:numPr>
          <w:ilvl w:val="0"/>
          <w:numId w:val="29"/>
        </w:numPr>
        <w:spacing w:after="200" w:line="240" w:lineRule="auto"/>
        <w:rPr>
          <w:rFonts w:ascii="Calibri" w:eastAsia="Calibri" w:hAnsi="Calibri" w:cs="Times New Roman"/>
          <w:b w:val="0"/>
          <w:color w:val="000000"/>
          <w:sz w:val="24"/>
          <w:szCs w:val="24"/>
          <w:lang w:val="es-AR"/>
        </w:rPr>
      </w:pPr>
      <w:r w:rsidRPr="00165D89">
        <w:rPr>
          <w:rFonts w:ascii="Calibri" w:eastAsia="Calibri" w:hAnsi="Calibri" w:cs="Times New Roman"/>
          <w:b w:val="0"/>
          <w:color w:val="000000"/>
          <w:sz w:val="24"/>
          <w:szCs w:val="24"/>
          <w:lang w:val="es-AR"/>
        </w:rPr>
        <w:t>Seis fases nutricionales son descriptas luego del nacimiento en SPW</w:t>
      </w:r>
    </w:p>
    <w:p w14:paraId="4193EE97" w14:textId="77777777" w:rsidR="00DD39EA" w:rsidRPr="00165D89" w:rsidRDefault="00DD39EA" w:rsidP="0039487B">
      <w:pPr>
        <w:pStyle w:val="ListParagraph"/>
        <w:numPr>
          <w:ilvl w:val="0"/>
          <w:numId w:val="29"/>
        </w:numPr>
        <w:spacing w:after="200" w:line="240" w:lineRule="auto"/>
        <w:rPr>
          <w:rFonts w:ascii="Calibri" w:eastAsia="Calibri" w:hAnsi="Calibri" w:cs="Times New Roman"/>
          <w:b w:val="0"/>
          <w:color w:val="000000"/>
          <w:sz w:val="24"/>
          <w:szCs w:val="24"/>
          <w:lang w:val="es-AR"/>
        </w:rPr>
      </w:pPr>
      <w:r w:rsidRPr="00165D89">
        <w:rPr>
          <w:rFonts w:ascii="Calibri" w:eastAsia="Calibri" w:hAnsi="Calibri" w:cs="Times New Roman"/>
          <w:b w:val="0"/>
          <w:color w:val="000000"/>
          <w:sz w:val="24"/>
          <w:szCs w:val="24"/>
          <w:lang w:val="es-AR"/>
        </w:rPr>
        <w:t>Puede haber variantes individuales en cada fase</w:t>
      </w:r>
    </w:p>
    <w:p w14:paraId="6334FE1B" w14:textId="77777777" w:rsidR="00DD39EA" w:rsidRPr="00DD39EA" w:rsidRDefault="00DD39EA" w:rsidP="0039487B">
      <w:pPr>
        <w:spacing w:after="200" w:line="240" w:lineRule="auto"/>
        <w:rPr>
          <w:rFonts w:ascii="Calibri" w:eastAsia="Calibri" w:hAnsi="Calibri" w:cs="Times New Roman"/>
          <w:color w:val="000000"/>
          <w:sz w:val="24"/>
          <w:szCs w:val="24"/>
          <w:lang w:val="es-AR"/>
        </w:rPr>
      </w:pPr>
      <w:r w:rsidRPr="00DD39EA">
        <w:rPr>
          <w:rFonts w:ascii="Calibri" w:eastAsia="Calibri" w:hAnsi="Calibri" w:cs="Times New Roman"/>
          <w:color w:val="000000"/>
          <w:sz w:val="24"/>
          <w:szCs w:val="24"/>
          <w:lang w:val="es-AR"/>
        </w:rPr>
        <w:t xml:space="preserve">Las primeras 3 fases ocurren después de los 3 </w:t>
      </w:r>
      <w:proofErr w:type="gramStart"/>
      <w:r w:rsidRPr="00DD39EA">
        <w:rPr>
          <w:rFonts w:ascii="Calibri" w:eastAsia="Calibri" w:hAnsi="Calibri" w:cs="Times New Roman"/>
          <w:color w:val="000000"/>
          <w:sz w:val="24"/>
          <w:szCs w:val="24"/>
          <w:lang w:val="es-AR"/>
        </w:rPr>
        <w:t>años de edad</w:t>
      </w:r>
      <w:proofErr w:type="gramEnd"/>
    </w:p>
    <w:p w14:paraId="03053731" w14:textId="77777777" w:rsidR="00DD39EA" w:rsidRPr="00165D89" w:rsidRDefault="00DD39EA" w:rsidP="0039487B">
      <w:pPr>
        <w:pStyle w:val="ListParagraph"/>
        <w:numPr>
          <w:ilvl w:val="0"/>
          <w:numId w:val="30"/>
        </w:numPr>
        <w:spacing w:after="200" w:line="240" w:lineRule="auto"/>
        <w:rPr>
          <w:rFonts w:ascii="Calibri" w:eastAsia="Calibri" w:hAnsi="Calibri" w:cs="Times New Roman"/>
          <w:b w:val="0"/>
          <w:color w:val="000000"/>
          <w:sz w:val="24"/>
          <w:szCs w:val="24"/>
          <w:lang w:val="es-AR"/>
        </w:rPr>
      </w:pPr>
      <w:r w:rsidRPr="00165D89">
        <w:rPr>
          <w:rFonts w:ascii="Calibri" w:eastAsia="Calibri" w:hAnsi="Calibri" w:cs="Times New Roman"/>
          <w:b w:val="0"/>
          <w:color w:val="000000"/>
          <w:sz w:val="24"/>
          <w:szCs w:val="24"/>
          <w:lang w:val="es-AR"/>
        </w:rPr>
        <w:t xml:space="preserve">Fase 1 </w:t>
      </w:r>
      <w:r w:rsidRPr="00165D89">
        <w:rPr>
          <w:rFonts w:ascii="Calibri" w:eastAsia="Calibri" w:hAnsi="Calibri" w:cs="Times New Roman"/>
          <w:b w:val="0"/>
          <w:color w:val="auto"/>
          <w:sz w:val="24"/>
          <w:szCs w:val="24"/>
          <w:lang w:val="es-AR"/>
        </w:rPr>
        <w:t>a</w:t>
      </w:r>
      <w:r w:rsidRPr="00165D89">
        <w:rPr>
          <w:rFonts w:ascii="Calibri" w:eastAsia="Calibri" w:hAnsi="Calibri" w:cs="Times New Roman"/>
          <w:b w:val="0"/>
          <w:color w:val="000000"/>
          <w:sz w:val="24"/>
          <w:szCs w:val="24"/>
          <w:lang w:val="es-AR"/>
        </w:rPr>
        <w:t>: hipotonía con dificultad para alimentarse y apetito disminuido</w:t>
      </w:r>
    </w:p>
    <w:p w14:paraId="7A22FD0F" w14:textId="77777777" w:rsidR="00DD39EA" w:rsidRPr="00165D89" w:rsidRDefault="00DD39EA" w:rsidP="0039487B">
      <w:pPr>
        <w:pStyle w:val="ListParagraph"/>
        <w:numPr>
          <w:ilvl w:val="0"/>
          <w:numId w:val="30"/>
        </w:numPr>
        <w:spacing w:after="200" w:line="240" w:lineRule="auto"/>
        <w:rPr>
          <w:rFonts w:ascii="Calibri" w:eastAsia="Calibri" w:hAnsi="Calibri" w:cs="Times New Roman"/>
          <w:b w:val="0"/>
          <w:color w:val="000000"/>
          <w:sz w:val="24"/>
          <w:szCs w:val="24"/>
          <w:lang w:val="es-AR"/>
        </w:rPr>
      </w:pPr>
      <w:r w:rsidRPr="00165D89">
        <w:rPr>
          <w:rFonts w:ascii="Calibri" w:eastAsia="Calibri" w:hAnsi="Calibri" w:cs="Times New Roman"/>
          <w:b w:val="0"/>
          <w:color w:val="000000"/>
          <w:sz w:val="24"/>
          <w:szCs w:val="24"/>
          <w:lang w:val="es-AR"/>
        </w:rPr>
        <w:t xml:space="preserve">Fase 2 </w:t>
      </w:r>
      <w:r w:rsidRPr="00165D89">
        <w:rPr>
          <w:rFonts w:ascii="Calibri" w:eastAsia="Calibri" w:hAnsi="Calibri" w:cs="Times New Roman"/>
          <w:b w:val="0"/>
          <w:color w:val="auto"/>
          <w:sz w:val="24"/>
          <w:szCs w:val="24"/>
          <w:lang w:val="es-AR"/>
        </w:rPr>
        <w:t>b</w:t>
      </w:r>
      <w:r w:rsidRPr="00165D89">
        <w:rPr>
          <w:rFonts w:ascii="Calibri" w:eastAsia="Calibri" w:hAnsi="Calibri" w:cs="Times New Roman"/>
          <w:b w:val="0"/>
          <w:color w:val="000000"/>
          <w:sz w:val="24"/>
          <w:szCs w:val="24"/>
          <w:lang w:val="es-AR"/>
        </w:rPr>
        <w:t>: aumento de la alimentación, del apetito y del crecimiento</w:t>
      </w:r>
    </w:p>
    <w:p w14:paraId="2B531360" w14:textId="77777777" w:rsidR="00DD39EA" w:rsidRPr="00165D89" w:rsidRDefault="00DD39EA" w:rsidP="0039487B">
      <w:pPr>
        <w:pStyle w:val="ListParagraph"/>
        <w:numPr>
          <w:ilvl w:val="0"/>
          <w:numId w:val="30"/>
        </w:numPr>
        <w:spacing w:after="200" w:line="240" w:lineRule="auto"/>
        <w:rPr>
          <w:rFonts w:ascii="Calibri" w:eastAsia="Calibri" w:hAnsi="Calibri" w:cs="Times New Roman"/>
          <w:b w:val="0"/>
          <w:color w:val="auto"/>
          <w:sz w:val="24"/>
          <w:szCs w:val="24"/>
          <w:lang w:val="es-AR"/>
        </w:rPr>
      </w:pPr>
      <w:r w:rsidRPr="00165D89">
        <w:rPr>
          <w:rFonts w:ascii="Calibri" w:eastAsia="Calibri" w:hAnsi="Calibri" w:cs="Times New Roman"/>
          <w:b w:val="0"/>
          <w:color w:val="000000"/>
          <w:sz w:val="24"/>
          <w:szCs w:val="24"/>
          <w:lang w:val="es-AR"/>
        </w:rPr>
        <w:t xml:space="preserve">Fase 2 </w:t>
      </w:r>
      <w:r w:rsidRPr="00165D89">
        <w:rPr>
          <w:rFonts w:ascii="Calibri" w:eastAsia="Calibri" w:hAnsi="Calibri" w:cs="Times New Roman"/>
          <w:b w:val="0"/>
          <w:color w:val="auto"/>
          <w:sz w:val="24"/>
          <w:szCs w:val="24"/>
          <w:lang w:val="es-AR"/>
        </w:rPr>
        <w:t xml:space="preserve">a: El peso comienza a aumentar sin </w:t>
      </w:r>
      <w:proofErr w:type="gramStart"/>
      <w:r w:rsidRPr="00165D89">
        <w:rPr>
          <w:rFonts w:ascii="Calibri" w:eastAsia="Calibri" w:hAnsi="Calibri" w:cs="Times New Roman"/>
          <w:b w:val="0"/>
          <w:color w:val="auto"/>
          <w:sz w:val="24"/>
          <w:szCs w:val="24"/>
          <w:lang w:val="es-AR"/>
        </w:rPr>
        <w:t>un  aumento</w:t>
      </w:r>
      <w:proofErr w:type="gramEnd"/>
      <w:r w:rsidRPr="00165D89">
        <w:rPr>
          <w:rFonts w:ascii="Calibri" w:eastAsia="Calibri" w:hAnsi="Calibri" w:cs="Times New Roman"/>
          <w:b w:val="0"/>
          <w:color w:val="auto"/>
          <w:sz w:val="24"/>
          <w:szCs w:val="24"/>
          <w:lang w:val="es-AR"/>
        </w:rPr>
        <w:t xml:space="preserve"> evidente en el apetito o en las calorías (generalmente comienzan alrededor de los 18-36 meses, pero pueden ser tempranamente, ya a los 12 meses) recibiendo  una dieta típica para niños pequeños. </w:t>
      </w:r>
    </w:p>
    <w:p w14:paraId="2D1B1C13" w14:textId="77777777" w:rsidR="00DD39EA" w:rsidRPr="00165D89" w:rsidRDefault="00DD39EA" w:rsidP="0039487B">
      <w:pPr>
        <w:pStyle w:val="ListParagraph"/>
        <w:numPr>
          <w:ilvl w:val="0"/>
          <w:numId w:val="30"/>
        </w:numPr>
        <w:spacing w:after="200" w:line="240" w:lineRule="auto"/>
        <w:rPr>
          <w:rFonts w:ascii="Calibri" w:eastAsia="Calibri" w:hAnsi="Calibri" w:cs="Times New Roman"/>
          <w:b w:val="0"/>
          <w:color w:val="auto"/>
          <w:sz w:val="24"/>
          <w:szCs w:val="24"/>
          <w:lang w:val="es-AR"/>
        </w:rPr>
      </w:pPr>
      <w:r w:rsidRPr="00165D89">
        <w:rPr>
          <w:rFonts w:ascii="Calibri" w:eastAsia="Calibri" w:hAnsi="Calibri" w:cs="Times New Roman"/>
          <w:b w:val="0"/>
          <w:color w:val="auto"/>
          <w:sz w:val="24"/>
          <w:szCs w:val="24"/>
          <w:lang w:val="es-AR"/>
        </w:rPr>
        <w:t xml:space="preserve">La necesidad calórica en SPW es generalmente más baja que el resto de los bebés y niños debido a una disminución en el metabolismo, menos movimiento y actividad motora, especialmente después de los 6- 12 </w:t>
      </w:r>
      <w:proofErr w:type="gramStart"/>
      <w:r w:rsidRPr="00165D89">
        <w:rPr>
          <w:rFonts w:ascii="Calibri" w:eastAsia="Calibri" w:hAnsi="Calibri" w:cs="Times New Roman"/>
          <w:b w:val="0"/>
          <w:color w:val="auto"/>
          <w:sz w:val="24"/>
          <w:szCs w:val="24"/>
          <w:lang w:val="es-AR"/>
        </w:rPr>
        <w:t>meses,  etapa</w:t>
      </w:r>
      <w:proofErr w:type="gramEnd"/>
      <w:r w:rsidRPr="00165D89">
        <w:rPr>
          <w:rFonts w:ascii="Calibri" w:eastAsia="Calibri" w:hAnsi="Calibri" w:cs="Times New Roman"/>
          <w:b w:val="0"/>
          <w:color w:val="auto"/>
          <w:sz w:val="24"/>
          <w:szCs w:val="24"/>
          <w:lang w:val="es-AR"/>
        </w:rPr>
        <w:t xml:space="preserve"> típica en la que los bebés suelen moverse mucho </w:t>
      </w:r>
      <w:proofErr w:type="spellStart"/>
      <w:r w:rsidRPr="00165D89">
        <w:rPr>
          <w:rFonts w:ascii="Calibri" w:eastAsia="Calibri" w:hAnsi="Calibri" w:cs="Times New Roman"/>
          <w:b w:val="0"/>
          <w:color w:val="auto"/>
          <w:sz w:val="24"/>
          <w:szCs w:val="24"/>
          <w:lang w:val="es-AR"/>
        </w:rPr>
        <w:t>mas</w:t>
      </w:r>
      <w:proofErr w:type="spellEnd"/>
      <w:r w:rsidRPr="00165D89">
        <w:rPr>
          <w:rFonts w:ascii="Calibri" w:eastAsia="Calibri" w:hAnsi="Calibri" w:cs="Times New Roman"/>
          <w:b w:val="0"/>
          <w:color w:val="auto"/>
          <w:sz w:val="24"/>
          <w:szCs w:val="24"/>
          <w:lang w:val="es-AR"/>
        </w:rPr>
        <w:t xml:space="preserve">. </w:t>
      </w:r>
    </w:p>
    <w:p w14:paraId="11FC81B7" w14:textId="77777777" w:rsidR="00DD39EA" w:rsidRPr="00DD39EA" w:rsidRDefault="00DD39EA" w:rsidP="0039487B">
      <w:pPr>
        <w:spacing w:after="200" w:line="240" w:lineRule="auto"/>
        <w:rPr>
          <w:rFonts w:ascii="Calibri" w:eastAsia="Calibri" w:hAnsi="Calibri" w:cs="Times New Roman"/>
          <w:color w:val="auto"/>
          <w:szCs w:val="28"/>
          <w:lang w:val="es-AR"/>
        </w:rPr>
      </w:pPr>
      <w:r w:rsidRPr="00DD39EA">
        <w:rPr>
          <w:rFonts w:ascii="Calibri" w:eastAsia="Calibri" w:hAnsi="Calibri" w:cs="Times New Roman"/>
          <w:color w:val="auto"/>
          <w:szCs w:val="28"/>
          <w:lang w:val="es-AR"/>
        </w:rPr>
        <w:t>Período Neonatal:</w:t>
      </w:r>
    </w:p>
    <w:p w14:paraId="1F08F17F" w14:textId="77777777" w:rsidR="00DD39EA" w:rsidRPr="00CA33D8" w:rsidRDefault="00DD39EA" w:rsidP="0039487B">
      <w:pPr>
        <w:pStyle w:val="ListParagraph"/>
        <w:numPr>
          <w:ilvl w:val="0"/>
          <w:numId w:val="31"/>
        </w:numPr>
        <w:spacing w:after="200" w:line="240" w:lineRule="auto"/>
        <w:rPr>
          <w:rFonts w:ascii="Calibri" w:eastAsia="Calibri" w:hAnsi="Calibri" w:cs="Times New Roman"/>
          <w:b w:val="0"/>
          <w:color w:val="auto"/>
          <w:sz w:val="24"/>
          <w:szCs w:val="24"/>
          <w:lang w:val="es-AR"/>
        </w:rPr>
      </w:pPr>
      <w:r w:rsidRPr="00CA33D8">
        <w:rPr>
          <w:rFonts w:ascii="Calibri" w:eastAsia="Calibri" w:hAnsi="Calibri" w:cs="Times New Roman"/>
          <w:b w:val="0"/>
          <w:color w:val="auto"/>
          <w:sz w:val="24"/>
          <w:szCs w:val="24"/>
          <w:lang w:val="es-AR"/>
        </w:rPr>
        <w:t>Prácticamente todos los bebés recién nacidos con SPW presentan dificultades con la alimentación por boca y requieren asistencia en la alimentación.</w:t>
      </w:r>
    </w:p>
    <w:p w14:paraId="35254877" w14:textId="77777777" w:rsidR="00DD39EA" w:rsidRPr="00CA33D8" w:rsidRDefault="00DD39EA" w:rsidP="0039487B">
      <w:pPr>
        <w:pStyle w:val="ListParagraph"/>
        <w:numPr>
          <w:ilvl w:val="0"/>
          <w:numId w:val="31"/>
        </w:numPr>
        <w:spacing w:after="200" w:line="240" w:lineRule="auto"/>
        <w:rPr>
          <w:rFonts w:ascii="Calibri" w:eastAsia="Calibri" w:hAnsi="Calibri" w:cs="Times New Roman"/>
          <w:b w:val="0"/>
          <w:color w:val="auto"/>
          <w:sz w:val="24"/>
          <w:szCs w:val="24"/>
          <w:lang w:val="es-AR"/>
        </w:rPr>
      </w:pPr>
      <w:r w:rsidRPr="00CA33D8">
        <w:rPr>
          <w:rFonts w:ascii="Calibri" w:eastAsia="Calibri" w:hAnsi="Calibri" w:cs="Times New Roman"/>
          <w:b w:val="0"/>
          <w:color w:val="auto"/>
          <w:sz w:val="24"/>
          <w:szCs w:val="24"/>
          <w:lang w:val="es-AR"/>
        </w:rPr>
        <w:t xml:space="preserve">La mayoría requiere sonda naso-oro gástrica (NG/OG) para alimentarse desde las primeras semanas </w:t>
      </w:r>
      <w:proofErr w:type="gramStart"/>
      <w:r w:rsidRPr="00CA33D8">
        <w:rPr>
          <w:rFonts w:ascii="Calibri" w:eastAsia="Calibri" w:hAnsi="Calibri" w:cs="Times New Roman"/>
          <w:b w:val="0"/>
          <w:color w:val="auto"/>
          <w:sz w:val="24"/>
          <w:szCs w:val="24"/>
          <w:lang w:val="es-AR"/>
        </w:rPr>
        <w:t>hasta  los</w:t>
      </w:r>
      <w:proofErr w:type="gramEnd"/>
      <w:r w:rsidRPr="00CA33D8">
        <w:rPr>
          <w:rFonts w:ascii="Calibri" w:eastAsia="Calibri" w:hAnsi="Calibri" w:cs="Times New Roman"/>
          <w:b w:val="0"/>
          <w:color w:val="auto"/>
          <w:sz w:val="24"/>
          <w:szCs w:val="24"/>
          <w:lang w:val="es-AR"/>
        </w:rPr>
        <w:t xml:space="preserve"> primeros meses de vida.</w:t>
      </w:r>
    </w:p>
    <w:p w14:paraId="7259C0F7" w14:textId="77777777" w:rsidR="00DD39EA" w:rsidRPr="00CA33D8" w:rsidRDefault="00DD39EA" w:rsidP="0039487B">
      <w:pPr>
        <w:pStyle w:val="ListParagraph"/>
        <w:numPr>
          <w:ilvl w:val="0"/>
          <w:numId w:val="31"/>
        </w:numPr>
        <w:spacing w:after="200" w:line="240" w:lineRule="auto"/>
        <w:rPr>
          <w:rFonts w:ascii="Calibri" w:eastAsia="Calibri" w:hAnsi="Calibri" w:cs="Times New Roman"/>
          <w:b w:val="0"/>
          <w:color w:val="auto"/>
          <w:sz w:val="24"/>
          <w:szCs w:val="24"/>
          <w:lang w:val="es-AR"/>
        </w:rPr>
      </w:pPr>
      <w:r w:rsidRPr="00CA33D8">
        <w:rPr>
          <w:rFonts w:ascii="Calibri" w:eastAsia="Calibri" w:hAnsi="Calibri" w:cs="Times New Roman"/>
          <w:b w:val="0"/>
          <w:color w:val="auto"/>
          <w:sz w:val="24"/>
          <w:szCs w:val="24"/>
          <w:lang w:val="es-AR"/>
        </w:rPr>
        <w:t xml:space="preserve">Aquellos que se pueden alimentar oralmente necesitarán pezones especiales y más tiempo para alimentarse. </w:t>
      </w:r>
    </w:p>
    <w:p w14:paraId="784CA55C" w14:textId="77777777" w:rsidR="00DD39EA" w:rsidRPr="00CA33D8" w:rsidRDefault="00DD39EA" w:rsidP="0039487B">
      <w:pPr>
        <w:pStyle w:val="ListParagraph"/>
        <w:numPr>
          <w:ilvl w:val="0"/>
          <w:numId w:val="31"/>
        </w:numPr>
        <w:spacing w:after="200" w:line="240" w:lineRule="auto"/>
        <w:rPr>
          <w:rFonts w:ascii="Calibri" w:eastAsia="Calibri" w:hAnsi="Calibri" w:cs="Times New Roman"/>
          <w:b w:val="0"/>
          <w:color w:val="000000"/>
          <w:sz w:val="24"/>
          <w:szCs w:val="24"/>
          <w:lang w:val="es-AR"/>
        </w:rPr>
      </w:pPr>
      <w:r w:rsidRPr="00CA33D8">
        <w:rPr>
          <w:rFonts w:ascii="Calibri" w:eastAsia="Calibri" w:hAnsi="Calibri" w:cs="Times New Roman"/>
          <w:b w:val="0"/>
          <w:color w:val="000000"/>
          <w:sz w:val="24"/>
          <w:szCs w:val="24"/>
          <w:lang w:val="es-AR"/>
        </w:rPr>
        <w:t xml:space="preserve">Duración limitada de alimentación oral, que no exceda los 25-30 minutos para evitar aspiraciones. </w:t>
      </w:r>
    </w:p>
    <w:p w14:paraId="2F70AE56" w14:textId="77777777" w:rsidR="00DD39EA" w:rsidRPr="00CA33D8" w:rsidRDefault="00DD39EA" w:rsidP="0039487B">
      <w:pPr>
        <w:pStyle w:val="ListParagraph"/>
        <w:numPr>
          <w:ilvl w:val="0"/>
          <w:numId w:val="31"/>
        </w:numPr>
        <w:spacing w:after="200" w:line="240" w:lineRule="auto"/>
        <w:rPr>
          <w:rFonts w:ascii="Calibri" w:eastAsia="Calibri" w:hAnsi="Calibri" w:cs="Times New Roman"/>
          <w:b w:val="0"/>
          <w:color w:val="auto"/>
          <w:sz w:val="24"/>
          <w:szCs w:val="24"/>
          <w:lang w:val="es-AR"/>
        </w:rPr>
      </w:pPr>
      <w:r w:rsidRPr="00CA33D8">
        <w:rPr>
          <w:rFonts w:ascii="Calibri" w:eastAsia="Calibri" w:hAnsi="Calibri" w:cs="Times New Roman"/>
          <w:b w:val="0"/>
          <w:color w:val="auto"/>
          <w:sz w:val="24"/>
          <w:szCs w:val="24"/>
          <w:lang w:val="es-AR"/>
        </w:rPr>
        <w:t xml:space="preserve">No solemos recomendar alimentación por sonda de gastrostomía </w:t>
      </w:r>
      <w:proofErr w:type="gramStart"/>
      <w:r w:rsidRPr="00CA33D8">
        <w:rPr>
          <w:rFonts w:ascii="Calibri" w:eastAsia="Calibri" w:hAnsi="Calibri" w:cs="Times New Roman"/>
          <w:b w:val="0"/>
          <w:color w:val="auto"/>
          <w:sz w:val="24"/>
          <w:szCs w:val="24"/>
          <w:lang w:val="es-AR"/>
        </w:rPr>
        <w:t>( G</w:t>
      </w:r>
      <w:proofErr w:type="gramEnd"/>
      <w:r w:rsidRPr="00CA33D8">
        <w:rPr>
          <w:rFonts w:ascii="Calibri" w:eastAsia="Calibri" w:hAnsi="Calibri" w:cs="Times New Roman"/>
          <w:b w:val="0"/>
          <w:color w:val="auto"/>
          <w:sz w:val="24"/>
          <w:szCs w:val="24"/>
          <w:lang w:val="es-AR"/>
        </w:rPr>
        <w:t>-</w:t>
      </w:r>
      <w:proofErr w:type="spellStart"/>
      <w:r w:rsidRPr="00CA33D8">
        <w:rPr>
          <w:rFonts w:ascii="Calibri" w:eastAsia="Calibri" w:hAnsi="Calibri" w:cs="Times New Roman"/>
          <w:b w:val="0"/>
          <w:color w:val="auto"/>
          <w:sz w:val="24"/>
          <w:szCs w:val="24"/>
          <w:lang w:val="es-AR"/>
        </w:rPr>
        <w:t>tube</w:t>
      </w:r>
      <w:proofErr w:type="spellEnd"/>
      <w:r w:rsidRPr="00CA33D8">
        <w:rPr>
          <w:rFonts w:ascii="Calibri" w:eastAsia="Calibri" w:hAnsi="Calibri" w:cs="Times New Roman"/>
          <w:b w:val="0"/>
          <w:color w:val="auto"/>
          <w:sz w:val="24"/>
          <w:szCs w:val="24"/>
          <w:lang w:val="es-AR"/>
        </w:rPr>
        <w:t xml:space="preserve">) porque suelen generar dependencia para alimentarse, puede haber un incremento en el riesgo de reflujo, y quedará una cicatriz. </w:t>
      </w:r>
    </w:p>
    <w:p w14:paraId="10DCF316" w14:textId="77777777" w:rsidR="00DD39EA" w:rsidRPr="00CA33D8" w:rsidRDefault="00DD39EA" w:rsidP="0039487B">
      <w:pPr>
        <w:pStyle w:val="ListParagraph"/>
        <w:numPr>
          <w:ilvl w:val="0"/>
          <w:numId w:val="31"/>
        </w:numPr>
        <w:spacing w:after="200" w:line="240" w:lineRule="auto"/>
        <w:rPr>
          <w:rFonts w:ascii="Calibri" w:eastAsia="Calibri" w:hAnsi="Calibri" w:cs="Times New Roman"/>
          <w:b w:val="0"/>
          <w:color w:val="auto"/>
          <w:sz w:val="24"/>
          <w:szCs w:val="24"/>
          <w:lang w:val="es-AR"/>
        </w:rPr>
      </w:pPr>
      <w:r w:rsidRPr="00CA33D8">
        <w:rPr>
          <w:rFonts w:ascii="Calibri" w:eastAsia="Calibri" w:hAnsi="Calibri" w:cs="Times New Roman"/>
          <w:b w:val="0"/>
          <w:color w:val="auto"/>
          <w:sz w:val="24"/>
          <w:szCs w:val="24"/>
          <w:lang w:val="es-AR"/>
        </w:rPr>
        <w:t>Las sondas de gastrostomía (G-</w:t>
      </w:r>
      <w:proofErr w:type="spellStart"/>
      <w:r w:rsidRPr="00CA33D8">
        <w:rPr>
          <w:rFonts w:ascii="Calibri" w:eastAsia="Calibri" w:hAnsi="Calibri" w:cs="Times New Roman"/>
          <w:b w:val="0"/>
          <w:color w:val="auto"/>
          <w:sz w:val="24"/>
          <w:szCs w:val="24"/>
          <w:lang w:val="es-AR"/>
        </w:rPr>
        <w:t>tube</w:t>
      </w:r>
      <w:proofErr w:type="spellEnd"/>
      <w:r w:rsidRPr="00CA33D8">
        <w:rPr>
          <w:rFonts w:ascii="Calibri" w:eastAsia="Calibri" w:hAnsi="Calibri" w:cs="Times New Roman"/>
          <w:b w:val="0"/>
          <w:color w:val="auto"/>
          <w:sz w:val="24"/>
          <w:szCs w:val="24"/>
          <w:lang w:val="es-AR"/>
        </w:rPr>
        <w:t xml:space="preserve">) son usualmente recomendadas para aquellos que necesitan asistencia por arriba de los tres meses o por otras razones especiales, como incomodidad de los padres o inseguridades con la sonda nasogástrica. </w:t>
      </w:r>
    </w:p>
    <w:p w14:paraId="07663E4E" w14:textId="77777777" w:rsidR="00DD39EA" w:rsidRPr="00CA33D8" w:rsidRDefault="00DD39EA" w:rsidP="0039487B">
      <w:pPr>
        <w:pStyle w:val="ListParagraph"/>
        <w:numPr>
          <w:ilvl w:val="0"/>
          <w:numId w:val="31"/>
        </w:numPr>
        <w:spacing w:after="200" w:line="240" w:lineRule="auto"/>
        <w:rPr>
          <w:rFonts w:ascii="Calibri" w:eastAsia="Calibri" w:hAnsi="Calibri" w:cs="Times New Roman"/>
          <w:b w:val="0"/>
          <w:color w:val="FF0000"/>
          <w:sz w:val="24"/>
          <w:szCs w:val="24"/>
          <w:lang w:val="es-AR"/>
        </w:rPr>
      </w:pPr>
      <w:r w:rsidRPr="00CA33D8">
        <w:rPr>
          <w:rFonts w:ascii="Calibri" w:eastAsia="Calibri" w:hAnsi="Calibri" w:cs="Times New Roman"/>
          <w:b w:val="0"/>
          <w:color w:val="auto"/>
          <w:sz w:val="24"/>
          <w:szCs w:val="24"/>
          <w:lang w:val="es-AR"/>
        </w:rPr>
        <w:t xml:space="preserve">Hay riesgo de reflujo y aspiraciones silenciosas con la </w:t>
      </w:r>
      <w:proofErr w:type="spellStart"/>
      <w:r w:rsidRPr="00CA33D8">
        <w:rPr>
          <w:rFonts w:ascii="Calibri" w:eastAsia="Calibri" w:hAnsi="Calibri" w:cs="Times New Roman"/>
          <w:b w:val="0"/>
          <w:color w:val="auto"/>
          <w:sz w:val="24"/>
          <w:szCs w:val="24"/>
          <w:lang w:val="es-AR"/>
        </w:rPr>
        <w:t>gastrotomía</w:t>
      </w:r>
      <w:proofErr w:type="spellEnd"/>
      <w:r w:rsidRPr="00CA33D8">
        <w:rPr>
          <w:rFonts w:ascii="Calibri" w:eastAsia="Calibri" w:hAnsi="Calibri" w:cs="Times New Roman"/>
          <w:b w:val="0"/>
          <w:color w:val="auto"/>
          <w:sz w:val="24"/>
          <w:szCs w:val="24"/>
          <w:lang w:val="es-AR"/>
        </w:rPr>
        <w:t xml:space="preserve">, salvo que se haga una técnica quirúrgica que se llama funduplicatura de </w:t>
      </w:r>
      <w:proofErr w:type="spellStart"/>
      <w:r w:rsidRPr="00CA33D8">
        <w:rPr>
          <w:rFonts w:ascii="Calibri" w:eastAsia="Calibri" w:hAnsi="Calibri" w:cs="Times New Roman"/>
          <w:b w:val="0"/>
          <w:color w:val="auto"/>
          <w:sz w:val="24"/>
          <w:szCs w:val="24"/>
          <w:lang w:val="es-AR"/>
        </w:rPr>
        <w:t>NiSSEN</w:t>
      </w:r>
      <w:proofErr w:type="spellEnd"/>
      <w:r w:rsidRPr="00CA33D8">
        <w:rPr>
          <w:rFonts w:ascii="Calibri" w:eastAsia="Calibri" w:hAnsi="Calibri" w:cs="Times New Roman"/>
          <w:b w:val="0"/>
          <w:color w:val="auto"/>
          <w:sz w:val="24"/>
          <w:szCs w:val="24"/>
          <w:lang w:val="es-AR"/>
        </w:rPr>
        <w:t xml:space="preserve"> </w:t>
      </w:r>
    </w:p>
    <w:p w14:paraId="7870E95C" w14:textId="77777777" w:rsidR="00DD39EA" w:rsidRPr="00CA33D8" w:rsidRDefault="00DD39EA" w:rsidP="0039487B">
      <w:pPr>
        <w:pStyle w:val="ListParagraph"/>
        <w:numPr>
          <w:ilvl w:val="0"/>
          <w:numId w:val="31"/>
        </w:numPr>
        <w:spacing w:after="200" w:line="240" w:lineRule="auto"/>
        <w:rPr>
          <w:rFonts w:ascii="Calibri" w:eastAsia="Calibri" w:hAnsi="Calibri" w:cs="Times New Roman"/>
          <w:b w:val="0"/>
          <w:color w:val="000000"/>
          <w:sz w:val="24"/>
          <w:szCs w:val="24"/>
          <w:lang w:val="es-AR"/>
        </w:rPr>
      </w:pPr>
      <w:r w:rsidRPr="00CA33D8">
        <w:rPr>
          <w:rFonts w:ascii="Calibri" w:eastAsia="Calibri" w:hAnsi="Calibri" w:cs="Times New Roman"/>
          <w:b w:val="0"/>
          <w:color w:val="000000"/>
          <w:sz w:val="24"/>
          <w:szCs w:val="24"/>
          <w:lang w:val="es-AR"/>
        </w:rPr>
        <w:t xml:space="preserve">Terapia Ocupacional, Física, y terapia oro motora deben estar involucradas, desde temprano, especialmente con la alimentación oral. </w:t>
      </w:r>
    </w:p>
    <w:p w14:paraId="1EB56303" w14:textId="77777777" w:rsidR="00DD39EA" w:rsidRPr="00CA33D8" w:rsidRDefault="00DD39EA" w:rsidP="0039487B">
      <w:pPr>
        <w:pStyle w:val="ListParagraph"/>
        <w:numPr>
          <w:ilvl w:val="0"/>
          <w:numId w:val="31"/>
        </w:numPr>
        <w:spacing w:after="200" w:line="240" w:lineRule="auto"/>
        <w:rPr>
          <w:rFonts w:ascii="Calibri" w:eastAsia="Calibri" w:hAnsi="Calibri" w:cs="Times New Roman"/>
          <w:b w:val="0"/>
          <w:color w:val="000000"/>
          <w:sz w:val="24"/>
          <w:szCs w:val="24"/>
          <w:lang w:val="es-AR"/>
        </w:rPr>
      </w:pPr>
      <w:r w:rsidRPr="00CA33D8">
        <w:rPr>
          <w:rFonts w:ascii="Calibri" w:eastAsia="Calibri" w:hAnsi="Calibri" w:cs="Times New Roman"/>
          <w:b w:val="0"/>
          <w:color w:val="000000"/>
          <w:sz w:val="24"/>
          <w:szCs w:val="24"/>
          <w:lang w:val="es-AR"/>
        </w:rPr>
        <w:t>Debería controlarse el peso 2 a 4 veces por semana.</w:t>
      </w:r>
    </w:p>
    <w:p w14:paraId="2FA435D8" w14:textId="77777777" w:rsidR="00DD39EA" w:rsidRPr="00CA33D8" w:rsidRDefault="00DD39EA" w:rsidP="0039487B">
      <w:pPr>
        <w:pStyle w:val="ListParagraph"/>
        <w:numPr>
          <w:ilvl w:val="0"/>
          <w:numId w:val="31"/>
        </w:numPr>
        <w:spacing w:after="200" w:line="240" w:lineRule="auto"/>
        <w:rPr>
          <w:rFonts w:ascii="Calibri" w:eastAsia="Calibri" w:hAnsi="Calibri" w:cs="Times New Roman"/>
          <w:b w:val="0"/>
          <w:color w:val="000000"/>
          <w:sz w:val="24"/>
          <w:szCs w:val="24"/>
          <w:lang w:val="es-AR"/>
        </w:rPr>
      </w:pPr>
      <w:r w:rsidRPr="00CA33D8">
        <w:rPr>
          <w:rFonts w:ascii="Calibri" w:eastAsia="Calibri" w:hAnsi="Calibri" w:cs="Times New Roman"/>
          <w:b w:val="0"/>
          <w:color w:val="000000"/>
          <w:sz w:val="24"/>
          <w:szCs w:val="24"/>
          <w:lang w:val="es-AR"/>
        </w:rPr>
        <w:t>Debería ganarse de a 20-30 gramos por día</w:t>
      </w:r>
    </w:p>
    <w:p w14:paraId="49B26B72" w14:textId="77777777" w:rsidR="00DD39EA" w:rsidRPr="00CA33D8" w:rsidRDefault="00DD39EA" w:rsidP="0039487B">
      <w:pPr>
        <w:pStyle w:val="ListParagraph"/>
        <w:numPr>
          <w:ilvl w:val="0"/>
          <w:numId w:val="31"/>
        </w:numPr>
        <w:spacing w:after="200" w:line="240" w:lineRule="auto"/>
        <w:rPr>
          <w:rFonts w:ascii="Calibri" w:eastAsia="Calibri" w:hAnsi="Calibri" w:cs="Times New Roman"/>
          <w:b w:val="0"/>
          <w:color w:val="000000"/>
          <w:sz w:val="24"/>
          <w:szCs w:val="24"/>
          <w:lang w:val="es-AR"/>
        </w:rPr>
      </w:pPr>
      <w:r w:rsidRPr="00CA33D8">
        <w:rPr>
          <w:rFonts w:ascii="Calibri" w:eastAsia="Calibri" w:hAnsi="Calibri" w:cs="Times New Roman"/>
          <w:b w:val="0"/>
          <w:color w:val="000000"/>
          <w:sz w:val="24"/>
          <w:szCs w:val="24"/>
          <w:lang w:val="es-AR"/>
        </w:rPr>
        <w:t>Muchos recién nacidos deberán tener una estancia prolongada (semanas, rara vez meses) en el hospital hasta que toleren alimentación o al menos alimentación oral.</w:t>
      </w:r>
    </w:p>
    <w:p w14:paraId="5CD0D54B" w14:textId="77777777" w:rsidR="00DD39EA" w:rsidRPr="00CA33D8" w:rsidRDefault="00DD39EA" w:rsidP="0039487B">
      <w:pPr>
        <w:pStyle w:val="ListParagraph"/>
        <w:numPr>
          <w:ilvl w:val="0"/>
          <w:numId w:val="31"/>
        </w:numPr>
        <w:spacing w:after="200" w:line="240" w:lineRule="auto"/>
        <w:rPr>
          <w:rFonts w:ascii="Calibri" w:eastAsia="Calibri" w:hAnsi="Calibri" w:cs="Times New Roman"/>
          <w:b w:val="0"/>
          <w:color w:val="000000"/>
          <w:sz w:val="24"/>
          <w:szCs w:val="24"/>
          <w:lang w:val="es-AR"/>
        </w:rPr>
      </w:pPr>
      <w:r w:rsidRPr="00CA33D8">
        <w:rPr>
          <w:rFonts w:ascii="Calibri" w:eastAsia="Calibri" w:hAnsi="Calibri" w:cs="Times New Roman"/>
          <w:b w:val="0"/>
          <w:color w:val="000000"/>
          <w:sz w:val="24"/>
          <w:szCs w:val="24"/>
          <w:lang w:val="es-AR"/>
        </w:rPr>
        <w:t xml:space="preserve">La concentración de la fórmula o las fortificaciones de la leche de pecho son necesarias para una buena nutrición los primeros meses de vida. </w:t>
      </w:r>
    </w:p>
    <w:p w14:paraId="52939921" w14:textId="77777777" w:rsidR="00DD39EA" w:rsidRPr="00CA33D8" w:rsidRDefault="00DD39EA" w:rsidP="0039487B">
      <w:pPr>
        <w:pStyle w:val="ListParagraph"/>
        <w:numPr>
          <w:ilvl w:val="0"/>
          <w:numId w:val="31"/>
        </w:numPr>
        <w:spacing w:after="200" w:line="240" w:lineRule="auto"/>
        <w:rPr>
          <w:rFonts w:ascii="Calibri" w:eastAsia="Calibri" w:hAnsi="Calibri" w:cs="Times New Roman"/>
          <w:b w:val="0"/>
          <w:color w:val="000000"/>
          <w:sz w:val="24"/>
          <w:szCs w:val="24"/>
          <w:lang w:val="es-AR"/>
        </w:rPr>
      </w:pPr>
      <w:r w:rsidRPr="00CA33D8">
        <w:rPr>
          <w:rFonts w:ascii="Calibri" w:eastAsia="Calibri" w:hAnsi="Calibri" w:cs="Times New Roman"/>
          <w:b w:val="0"/>
          <w:color w:val="000000"/>
          <w:sz w:val="24"/>
          <w:szCs w:val="24"/>
          <w:lang w:val="es-AR"/>
        </w:rPr>
        <w:t xml:space="preserve">No deberían ser dados de alta del hospital sin una opción de terapia oral y física de soporte en la casa. </w:t>
      </w:r>
    </w:p>
    <w:p w14:paraId="03665CA3" w14:textId="77777777" w:rsidR="00DD39EA" w:rsidRPr="00CA33D8" w:rsidRDefault="00DD39EA" w:rsidP="0039487B">
      <w:pPr>
        <w:pStyle w:val="ListParagraph"/>
        <w:numPr>
          <w:ilvl w:val="0"/>
          <w:numId w:val="31"/>
        </w:numPr>
        <w:spacing w:after="200" w:line="240" w:lineRule="auto"/>
        <w:rPr>
          <w:rFonts w:ascii="Calibri" w:eastAsia="Calibri" w:hAnsi="Calibri" w:cs="Times New Roman"/>
          <w:b w:val="0"/>
          <w:color w:val="000000"/>
          <w:sz w:val="24"/>
          <w:szCs w:val="24"/>
          <w:lang w:val="es-AR"/>
        </w:rPr>
      </w:pPr>
      <w:r w:rsidRPr="00CA33D8">
        <w:rPr>
          <w:rFonts w:ascii="Calibri" w:eastAsia="Calibri" w:hAnsi="Calibri" w:cs="Times New Roman"/>
          <w:b w:val="0"/>
          <w:color w:val="000000"/>
          <w:sz w:val="24"/>
          <w:szCs w:val="24"/>
          <w:lang w:val="es-AR"/>
        </w:rPr>
        <w:t>Algunas familias pueden ser enseñadas para hacer alimentaciones por sonda en la propia casa, pero debería analizarse caso por caso.</w:t>
      </w:r>
    </w:p>
    <w:p w14:paraId="08FC7DEF" w14:textId="77777777" w:rsidR="00DD39EA" w:rsidRPr="00CA33D8" w:rsidRDefault="00DD39EA" w:rsidP="0039487B">
      <w:pPr>
        <w:pStyle w:val="ListParagraph"/>
        <w:numPr>
          <w:ilvl w:val="0"/>
          <w:numId w:val="31"/>
        </w:numPr>
        <w:spacing w:after="200" w:line="240" w:lineRule="auto"/>
        <w:rPr>
          <w:rFonts w:ascii="Calibri" w:eastAsia="Calibri" w:hAnsi="Calibri" w:cs="Times New Roman"/>
          <w:b w:val="0"/>
          <w:color w:val="000000"/>
          <w:sz w:val="24"/>
          <w:szCs w:val="24"/>
          <w:lang w:val="es-AR"/>
        </w:rPr>
      </w:pPr>
      <w:r w:rsidRPr="00CA33D8">
        <w:rPr>
          <w:rFonts w:ascii="Calibri" w:eastAsia="Calibri" w:hAnsi="Calibri" w:cs="Times New Roman"/>
          <w:b w:val="0"/>
          <w:color w:val="000000"/>
          <w:sz w:val="24"/>
          <w:szCs w:val="24"/>
          <w:lang w:val="es-AR"/>
        </w:rPr>
        <w:t xml:space="preserve">Luego del diagnóstico, se debe consultar con un endocrinólogo pediatra para discutir </w:t>
      </w:r>
      <w:proofErr w:type="gramStart"/>
      <w:r w:rsidRPr="00CA33D8">
        <w:rPr>
          <w:rFonts w:ascii="Calibri" w:eastAsia="Calibri" w:hAnsi="Calibri" w:cs="Times New Roman"/>
          <w:b w:val="0"/>
          <w:color w:val="000000"/>
          <w:sz w:val="24"/>
          <w:szCs w:val="24"/>
          <w:lang w:val="es-AR"/>
        </w:rPr>
        <w:t>la el</w:t>
      </w:r>
      <w:proofErr w:type="gramEnd"/>
      <w:r w:rsidRPr="00CA33D8">
        <w:rPr>
          <w:rFonts w:ascii="Calibri" w:eastAsia="Calibri" w:hAnsi="Calibri" w:cs="Times New Roman"/>
          <w:b w:val="0"/>
          <w:color w:val="000000"/>
          <w:sz w:val="24"/>
          <w:szCs w:val="24"/>
          <w:lang w:val="es-AR"/>
        </w:rPr>
        <w:t xml:space="preserve"> tratamiento con hormona de crecimiento en forma futura. </w:t>
      </w:r>
    </w:p>
    <w:p w14:paraId="5977ED73" w14:textId="77777777" w:rsidR="00DD39EA" w:rsidRPr="00CA33D8" w:rsidRDefault="00DD39EA" w:rsidP="0039487B">
      <w:pPr>
        <w:pStyle w:val="ListParagraph"/>
        <w:numPr>
          <w:ilvl w:val="0"/>
          <w:numId w:val="31"/>
        </w:numPr>
        <w:spacing w:after="200" w:line="240" w:lineRule="auto"/>
        <w:rPr>
          <w:rFonts w:ascii="Calibri" w:eastAsia="Calibri" w:hAnsi="Calibri" w:cs="Times New Roman"/>
          <w:b w:val="0"/>
          <w:color w:val="000000"/>
          <w:sz w:val="24"/>
          <w:szCs w:val="24"/>
          <w:lang w:val="es-AR"/>
        </w:rPr>
      </w:pPr>
      <w:r w:rsidRPr="00CA33D8">
        <w:rPr>
          <w:rFonts w:ascii="Calibri" w:eastAsia="Calibri" w:hAnsi="Calibri" w:cs="Times New Roman"/>
          <w:b w:val="0"/>
          <w:color w:val="000000"/>
          <w:sz w:val="24"/>
          <w:szCs w:val="24"/>
          <w:lang w:val="es-AR"/>
        </w:rPr>
        <w:t xml:space="preserve">Para comenzar con la terapia de hormona de crecimiento, debe haber previamente un consumo nutricional apropiado. </w:t>
      </w:r>
    </w:p>
    <w:p w14:paraId="68DD3462" w14:textId="77777777" w:rsidR="00DD39EA" w:rsidRPr="00CA33D8" w:rsidRDefault="00DD39EA" w:rsidP="0039487B">
      <w:pPr>
        <w:pStyle w:val="ListParagraph"/>
        <w:numPr>
          <w:ilvl w:val="0"/>
          <w:numId w:val="31"/>
        </w:numPr>
        <w:spacing w:after="200" w:line="240" w:lineRule="auto"/>
        <w:rPr>
          <w:rFonts w:ascii="Calibri" w:eastAsia="Calibri" w:hAnsi="Calibri" w:cs="Times New Roman"/>
          <w:b w:val="0"/>
          <w:color w:val="000000"/>
          <w:sz w:val="24"/>
          <w:szCs w:val="24"/>
          <w:lang w:val="es-AR"/>
        </w:rPr>
      </w:pPr>
      <w:r w:rsidRPr="00CA33D8">
        <w:rPr>
          <w:rFonts w:ascii="Calibri" w:eastAsia="Calibri" w:hAnsi="Calibri" w:cs="Times New Roman"/>
          <w:b w:val="0"/>
          <w:color w:val="000000"/>
          <w:sz w:val="24"/>
          <w:szCs w:val="24"/>
          <w:lang w:val="es-AR"/>
        </w:rPr>
        <w:t>El riesgo de apneas está incrementado, por lo tanto, el recién nacido debe ser monitoreado por oximetría de pulso.</w:t>
      </w:r>
    </w:p>
    <w:p w14:paraId="7FF8A682" w14:textId="77777777" w:rsidR="00DD39EA" w:rsidRPr="00DD39EA" w:rsidRDefault="00DD39EA" w:rsidP="0039487B">
      <w:pPr>
        <w:spacing w:after="200" w:line="240" w:lineRule="auto"/>
        <w:rPr>
          <w:rFonts w:ascii="Calibri" w:eastAsia="Calibri" w:hAnsi="Calibri" w:cs="Times New Roman"/>
          <w:color w:val="000000"/>
          <w:szCs w:val="28"/>
          <w:lang w:val="es-AR"/>
        </w:rPr>
      </w:pPr>
      <w:r w:rsidRPr="00DD39EA">
        <w:rPr>
          <w:rFonts w:ascii="Calibri" w:eastAsia="Calibri" w:hAnsi="Calibri" w:cs="Times New Roman"/>
          <w:color w:val="000000"/>
          <w:szCs w:val="28"/>
          <w:lang w:val="es-AR"/>
        </w:rPr>
        <w:t xml:space="preserve">Crecimiento, Dieta </w:t>
      </w:r>
      <w:proofErr w:type="gramStart"/>
      <w:r w:rsidRPr="00DD39EA">
        <w:rPr>
          <w:rFonts w:ascii="Calibri" w:eastAsia="Calibri" w:hAnsi="Calibri" w:cs="Times New Roman"/>
          <w:color w:val="000000"/>
          <w:szCs w:val="28"/>
          <w:lang w:val="es-AR"/>
        </w:rPr>
        <w:t>y  Objetivos</w:t>
      </w:r>
      <w:proofErr w:type="gramEnd"/>
      <w:r w:rsidRPr="00DD39EA">
        <w:rPr>
          <w:rFonts w:ascii="Calibri" w:eastAsia="Calibri" w:hAnsi="Calibri" w:cs="Times New Roman"/>
          <w:color w:val="000000"/>
          <w:szCs w:val="28"/>
          <w:lang w:val="es-AR"/>
        </w:rPr>
        <w:t xml:space="preserve"> para la Alimentación: </w:t>
      </w:r>
    </w:p>
    <w:p w14:paraId="0118B44E" w14:textId="77777777" w:rsidR="00DD39EA" w:rsidRPr="00DD39EA" w:rsidRDefault="00DD39EA" w:rsidP="0039487B">
      <w:pPr>
        <w:spacing w:after="200" w:line="240" w:lineRule="auto"/>
        <w:rPr>
          <w:rFonts w:ascii="Calibri" w:eastAsia="Calibri" w:hAnsi="Calibri" w:cs="Times New Roman"/>
          <w:b w:val="0"/>
          <w:color w:val="000000"/>
          <w:sz w:val="24"/>
          <w:szCs w:val="24"/>
          <w:lang w:val="es-AR"/>
        </w:rPr>
      </w:pPr>
      <w:r w:rsidRPr="00DD39EA">
        <w:rPr>
          <w:rFonts w:ascii="Calibri" w:eastAsia="Calibri" w:hAnsi="Calibri" w:cs="Times New Roman"/>
          <w:b w:val="0"/>
          <w:color w:val="000000"/>
          <w:sz w:val="24"/>
          <w:szCs w:val="24"/>
          <w:lang w:val="es-AR"/>
        </w:rPr>
        <w:t>Necesidad de una dieta supervisada</w:t>
      </w:r>
    </w:p>
    <w:p w14:paraId="2BC9B72E" w14:textId="77777777" w:rsidR="00DD39EA" w:rsidRPr="00992185" w:rsidRDefault="00DD39EA" w:rsidP="0039487B">
      <w:pPr>
        <w:pStyle w:val="ListParagraph"/>
        <w:numPr>
          <w:ilvl w:val="0"/>
          <w:numId w:val="32"/>
        </w:numPr>
        <w:spacing w:after="200" w:line="240" w:lineRule="auto"/>
        <w:rPr>
          <w:rFonts w:ascii="Calibri" w:eastAsia="Calibri" w:hAnsi="Calibri" w:cs="Times New Roman"/>
          <w:b w:val="0"/>
          <w:color w:val="000000"/>
          <w:sz w:val="24"/>
          <w:szCs w:val="24"/>
          <w:lang w:val="es-AR"/>
        </w:rPr>
      </w:pPr>
      <w:r w:rsidRPr="00992185">
        <w:rPr>
          <w:rFonts w:ascii="Calibri" w:eastAsia="Calibri" w:hAnsi="Calibri" w:cs="Times New Roman"/>
          <w:b w:val="0"/>
          <w:color w:val="000000"/>
          <w:sz w:val="24"/>
          <w:szCs w:val="24"/>
          <w:lang w:val="es-AR"/>
        </w:rPr>
        <w:t xml:space="preserve">Inicialmente plantear como objetivo un peso en el </w:t>
      </w:r>
      <w:proofErr w:type="spellStart"/>
      <w:r w:rsidRPr="00992185">
        <w:rPr>
          <w:rFonts w:ascii="Calibri" w:eastAsia="Calibri" w:hAnsi="Calibri" w:cs="Times New Roman"/>
          <w:b w:val="0"/>
          <w:color w:val="000000"/>
          <w:sz w:val="24"/>
          <w:szCs w:val="24"/>
          <w:lang w:val="es-AR"/>
        </w:rPr>
        <w:t>percentilo</w:t>
      </w:r>
      <w:proofErr w:type="spellEnd"/>
      <w:r w:rsidRPr="00992185">
        <w:rPr>
          <w:rFonts w:ascii="Calibri" w:eastAsia="Calibri" w:hAnsi="Calibri" w:cs="Times New Roman"/>
          <w:b w:val="0"/>
          <w:color w:val="000000"/>
          <w:sz w:val="24"/>
          <w:szCs w:val="24"/>
          <w:lang w:val="es-AR"/>
        </w:rPr>
        <w:t xml:space="preserve"> 10-25 (Curva de </w:t>
      </w:r>
      <w:proofErr w:type="gramStart"/>
      <w:r w:rsidRPr="00992185">
        <w:rPr>
          <w:rFonts w:ascii="Calibri" w:eastAsia="Calibri" w:hAnsi="Calibri" w:cs="Times New Roman"/>
          <w:b w:val="0"/>
          <w:color w:val="000000"/>
          <w:sz w:val="24"/>
          <w:szCs w:val="24"/>
          <w:lang w:val="es-AR"/>
        </w:rPr>
        <w:t>crecimiento  de</w:t>
      </w:r>
      <w:proofErr w:type="gramEnd"/>
      <w:r w:rsidRPr="00992185">
        <w:rPr>
          <w:rFonts w:ascii="Calibri" w:eastAsia="Calibri" w:hAnsi="Calibri" w:cs="Times New Roman"/>
          <w:b w:val="0"/>
          <w:color w:val="000000"/>
          <w:sz w:val="24"/>
          <w:szCs w:val="24"/>
          <w:lang w:val="es-AR"/>
        </w:rPr>
        <w:t xml:space="preserve"> la Organización Mundial de la Salud).</w:t>
      </w:r>
    </w:p>
    <w:p w14:paraId="748524F1" w14:textId="77777777" w:rsidR="00DD39EA" w:rsidRPr="00992185" w:rsidRDefault="00DD39EA" w:rsidP="0039487B">
      <w:pPr>
        <w:pStyle w:val="ListParagraph"/>
        <w:numPr>
          <w:ilvl w:val="0"/>
          <w:numId w:val="32"/>
        </w:numPr>
        <w:spacing w:after="200" w:line="240" w:lineRule="auto"/>
        <w:rPr>
          <w:rFonts w:ascii="Calibri" w:eastAsia="Calibri" w:hAnsi="Calibri" w:cs="Times New Roman"/>
          <w:b w:val="0"/>
          <w:color w:val="000000"/>
          <w:sz w:val="24"/>
          <w:szCs w:val="24"/>
          <w:lang w:val="es-AR"/>
        </w:rPr>
      </w:pPr>
      <w:r w:rsidRPr="00992185">
        <w:rPr>
          <w:rFonts w:ascii="Calibri" w:eastAsia="Calibri" w:hAnsi="Calibri" w:cs="Times New Roman"/>
          <w:b w:val="0"/>
          <w:color w:val="000000"/>
          <w:sz w:val="24"/>
          <w:szCs w:val="24"/>
          <w:lang w:val="es-AR"/>
        </w:rPr>
        <w:t>Bebés y niños con SPW tienen mayor grasa corporal que cualquier niño en edad de desarrollo.</w:t>
      </w:r>
    </w:p>
    <w:p w14:paraId="32E736F6" w14:textId="77777777" w:rsidR="00DD39EA" w:rsidRPr="00992185" w:rsidRDefault="00DD39EA" w:rsidP="0039487B">
      <w:pPr>
        <w:pStyle w:val="ListParagraph"/>
        <w:numPr>
          <w:ilvl w:val="0"/>
          <w:numId w:val="32"/>
        </w:numPr>
        <w:spacing w:after="200" w:line="240" w:lineRule="auto"/>
        <w:rPr>
          <w:rFonts w:ascii="Calibri" w:eastAsia="Calibri" w:hAnsi="Calibri" w:cs="Times New Roman"/>
          <w:b w:val="0"/>
          <w:color w:val="000000"/>
          <w:sz w:val="24"/>
          <w:szCs w:val="24"/>
          <w:lang w:val="es-AR"/>
        </w:rPr>
      </w:pPr>
      <w:r w:rsidRPr="00992185">
        <w:rPr>
          <w:rFonts w:ascii="Calibri" w:eastAsia="Calibri" w:hAnsi="Calibri" w:cs="Times New Roman"/>
          <w:b w:val="0"/>
          <w:color w:val="000000"/>
          <w:sz w:val="24"/>
          <w:szCs w:val="24"/>
          <w:lang w:val="es-AR"/>
        </w:rPr>
        <w:t xml:space="preserve">Las necesidades calóricas pueden variar en el primer año de vida y deben ser ajustadas según la necesidad y siguiendo la curva de crecimiento. </w:t>
      </w:r>
    </w:p>
    <w:p w14:paraId="6B3451E8" w14:textId="77777777" w:rsidR="00DD39EA" w:rsidRPr="00992185" w:rsidRDefault="00DD39EA" w:rsidP="0039487B">
      <w:pPr>
        <w:pStyle w:val="ListParagraph"/>
        <w:numPr>
          <w:ilvl w:val="0"/>
          <w:numId w:val="32"/>
        </w:numPr>
        <w:spacing w:after="200" w:line="240" w:lineRule="auto"/>
        <w:rPr>
          <w:rFonts w:ascii="Calibri" w:eastAsia="Calibri" w:hAnsi="Calibri" w:cs="Times New Roman"/>
          <w:b w:val="0"/>
          <w:color w:val="000000"/>
          <w:sz w:val="24"/>
          <w:szCs w:val="24"/>
          <w:lang w:val="es-AR"/>
        </w:rPr>
      </w:pPr>
      <w:r w:rsidRPr="00992185">
        <w:rPr>
          <w:rFonts w:ascii="Calibri" w:eastAsia="Calibri" w:hAnsi="Calibri" w:cs="Times New Roman"/>
          <w:b w:val="0"/>
          <w:color w:val="000000"/>
          <w:sz w:val="24"/>
          <w:szCs w:val="24"/>
          <w:lang w:val="es-AR"/>
        </w:rPr>
        <w:t>Peso, talla, peso según talla y circunferencia del cráneo deben tener seguimiento por el médico pediatra, inicialmente cada dos o cuatro semanas desde que el bebé fue dado de alta del hospital y luego mensualmente.</w:t>
      </w:r>
    </w:p>
    <w:p w14:paraId="5137299E" w14:textId="77777777" w:rsidR="00DD39EA" w:rsidRPr="00992185" w:rsidRDefault="00DD39EA" w:rsidP="0039487B">
      <w:pPr>
        <w:pStyle w:val="ListParagraph"/>
        <w:numPr>
          <w:ilvl w:val="0"/>
          <w:numId w:val="32"/>
        </w:numPr>
        <w:spacing w:after="200" w:line="240" w:lineRule="auto"/>
        <w:rPr>
          <w:rFonts w:ascii="Calibri" w:eastAsia="Calibri" w:hAnsi="Calibri" w:cs="Times New Roman"/>
          <w:b w:val="0"/>
          <w:color w:val="000000"/>
          <w:sz w:val="24"/>
          <w:szCs w:val="24"/>
          <w:lang w:val="es-AR"/>
        </w:rPr>
      </w:pPr>
      <w:r w:rsidRPr="00992185">
        <w:rPr>
          <w:rFonts w:ascii="Calibri" w:eastAsia="Calibri" w:hAnsi="Calibri" w:cs="Times New Roman"/>
          <w:b w:val="0"/>
          <w:color w:val="000000"/>
          <w:sz w:val="24"/>
          <w:szCs w:val="24"/>
          <w:lang w:val="es-AR"/>
        </w:rPr>
        <w:t>Las necesidades calóricas (relativas a niños convencionales) comienzan a descender luego de los 15 meses de edad, pero a veces antes.</w:t>
      </w:r>
    </w:p>
    <w:p w14:paraId="4C446173" w14:textId="77777777" w:rsidR="00DD39EA" w:rsidRPr="00992185" w:rsidRDefault="00DD39EA" w:rsidP="0039487B">
      <w:pPr>
        <w:pStyle w:val="ListParagraph"/>
        <w:numPr>
          <w:ilvl w:val="0"/>
          <w:numId w:val="32"/>
        </w:numPr>
        <w:spacing w:after="200" w:line="240" w:lineRule="auto"/>
        <w:rPr>
          <w:rFonts w:ascii="Calibri" w:eastAsia="Calibri" w:hAnsi="Calibri" w:cs="Times New Roman"/>
          <w:b w:val="0"/>
          <w:color w:val="000000"/>
          <w:sz w:val="24"/>
          <w:szCs w:val="24"/>
          <w:lang w:val="es-AR"/>
        </w:rPr>
      </w:pPr>
      <w:r w:rsidRPr="00992185">
        <w:rPr>
          <w:rFonts w:ascii="Calibri" w:eastAsia="Calibri" w:hAnsi="Calibri" w:cs="Times New Roman"/>
          <w:b w:val="0"/>
          <w:color w:val="000000"/>
          <w:sz w:val="24"/>
          <w:szCs w:val="24"/>
          <w:lang w:val="es-AR"/>
        </w:rPr>
        <w:t xml:space="preserve">A veces, después de los 15 a 18 meses las necesidades calóricas están entre el 60 y el 80% del rango de la ingesta diaria recomendada. </w:t>
      </w:r>
    </w:p>
    <w:p w14:paraId="765B4474" w14:textId="77777777" w:rsidR="00DD39EA" w:rsidRPr="00992185" w:rsidRDefault="00DD39EA" w:rsidP="0039487B">
      <w:pPr>
        <w:pStyle w:val="ListParagraph"/>
        <w:numPr>
          <w:ilvl w:val="0"/>
          <w:numId w:val="32"/>
        </w:numPr>
        <w:spacing w:after="200" w:line="240" w:lineRule="auto"/>
        <w:rPr>
          <w:rFonts w:ascii="Calibri" w:eastAsia="Calibri" w:hAnsi="Calibri" w:cs="Times New Roman"/>
          <w:b w:val="0"/>
          <w:color w:val="000000"/>
          <w:sz w:val="24"/>
          <w:szCs w:val="24"/>
          <w:lang w:val="es-AR"/>
        </w:rPr>
      </w:pPr>
      <w:r w:rsidRPr="00992185">
        <w:rPr>
          <w:rFonts w:ascii="Calibri" w:eastAsia="Calibri" w:hAnsi="Calibri" w:cs="Times New Roman"/>
          <w:b w:val="0"/>
          <w:color w:val="000000"/>
          <w:sz w:val="24"/>
          <w:szCs w:val="24"/>
          <w:lang w:val="es-AR"/>
        </w:rPr>
        <w:t xml:space="preserve">A partir de que el peso comienza a aumentar, descender calorías para mantener al niño en el 25-50 % del peso por altura. </w:t>
      </w:r>
    </w:p>
    <w:p w14:paraId="265E0184" w14:textId="77777777" w:rsidR="00DD39EA" w:rsidRPr="00992185" w:rsidRDefault="00DD39EA" w:rsidP="0039487B">
      <w:pPr>
        <w:pStyle w:val="ListParagraph"/>
        <w:numPr>
          <w:ilvl w:val="0"/>
          <w:numId w:val="32"/>
        </w:numPr>
        <w:spacing w:after="200" w:line="240" w:lineRule="auto"/>
        <w:rPr>
          <w:rFonts w:ascii="Calibri" w:eastAsia="Calibri" w:hAnsi="Calibri" w:cs="Times New Roman"/>
          <w:b w:val="0"/>
          <w:color w:val="000000"/>
          <w:sz w:val="24"/>
          <w:szCs w:val="24"/>
          <w:lang w:val="es-AR"/>
        </w:rPr>
      </w:pPr>
      <w:r w:rsidRPr="00992185">
        <w:rPr>
          <w:rFonts w:ascii="Calibri" w:eastAsia="Calibri" w:hAnsi="Calibri" w:cs="Times New Roman"/>
          <w:b w:val="0"/>
          <w:color w:val="000000"/>
          <w:sz w:val="24"/>
          <w:szCs w:val="24"/>
          <w:lang w:val="es-AR"/>
        </w:rPr>
        <w:t>El asesoramiento nutricional es importante para asegurar el consumo de proteínas y micronutrientes.</w:t>
      </w:r>
    </w:p>
    <w:p w14:paraId="7F6CE3AA" w14:textId="77777777" w:rsidR="00DD39EA" w:rsidRPr="00992185" w:rsidRDefault="00DD39EA" w:rsidP="0039487B">
      <w:pPr>
        <w:pStyle w:val="ListParagraph"/>
        <w:numPr>
          <w:ilvl w:val="0"/>
          <w:numId w:val="32"/>
        </w:numPr>
        <w:spacing w:after="200" w:line="240" w:lineRule="auto"/>
        <w:rPr>
          <w:rFonts w:ascii="Calibri" w:eastAsia="Calibri" w:hAnsi="Calibri" w:cs="Times New Roman"/>
          <w:b w:val="0"/>
          <w:color w:val="000000"/>
          <w:sz w:val="24"/>
          <w:szCs w:val="24"/>
          <w:lang w:val="es-AR"/>
        </w:rPr>
      </w:pPr>
      <w:r w:rsidRPr="00992185">
        <w:rPr>
          <w:rFonts w:ascii="Calibri" w:eastAsia="Calibri" w:hAnsi="Calibri" w:cs="Times New Roman"/>
          <w:b w:val="0"/>
          <w:color w:val="000000"/>
          <w:sz w:val="24"/>
          <w:szCs w:val="24"/>
          <w:lang w:val="es-AR"/>
        </w:rPr>
        <w:t xml:space="preserve">Es importante introducir alimentos de alta calidad nutricional, pero fortalecer cantidades necesarias de grasa, para el buen crecimiento cerebral. </w:t>
      </w:r>
    </w:p>
    <w:p w14:paraId="0F66F23D" w14:textId="77777777" w:rsidR="00DD39EA" w:rsidRPr="00992185" w:rsidRDefault="00DD39EA" w:rsidP="0039487B">
      <w:pPr>
        <w:pStyle w:val="ListParagraph"/>
        <w:numPr>
          <w:ilvl w:val="0"/>
          <w:numId w:val="32"/>
        </w:numPr>
        <w:spacing w:after="200" w:line="240" w:lineRule="auto"/>
        <w:rPr>
          <w:rFonts w:ascii="Calibri" w:eastAsia="Calibri" w:hAnsi="Calibri" w:cs="Times New Roman"/>
          <w:b w:val="0"/>
          <w:color w:val="000000"/>
          <w:sz w:val="24"/>
          <w:szCs w:val="24"/>
          <w:lang w:val="es-AR"/>
        </w:rPr>
      </w:pPr>
      <w:r w:rsidRPr="00992185">
        <w:rPr>
          <w:rFonts w:ascii="Calibri" w:eastAsia="Calibri" w:hAnsi="Calibri" w:cs="Times New Roman"/>
          <w:b w:val="0"/>
          <w:color w:val="000000"/>
          <w:sz w:val="24"/>
          <w:szCs w:val="24"/>
          <w:lang w:val="es-AR"/>
        </w:rPr>
        <w:t>Evitar alimentos con baja calidad nutricional (</w:t>
      </w:r>
      <w:proofErr w:type="spellStart"/>
      <w:r w:rsidRPr="00992185">
        <w:rPr>
          <w:rFonts w:ascii="Calibri" w:eastAsia="Calibri" w:hAnsi="Calibri" w:cs="Times New Roman"/>
          <w:b w:val="0"/>
          <w:color w:val="000000"/>
          <w:sz w:val="24"/>
          <w:szCs w:val="24"/>
          <w:lang w:val="es-AR"/>
        </w:rPr>
        <w:t>Ej</w:t>
      </w:r>
      <w:proofErr w:type="spellEnd"/>
      <w:r w:rsidRPr="00992185">
        <w:rPr>
          <w:rFonts w:ascii="Calibri" w:eastAsia="Calibri" w:hAnsi="Calibri" w:cs="Times New Roman"/>
          <w:b w:val="0"/>
          <w:color w:val="000000"/>
          <w:sz w:val="24"/>
          <w:szCs w:val="24"/>
          <w:lang w:val="es-AR"/>
        </w:rPr>
        <w:t>: comida frita, carbohidratos simples).</w:t>
      </w:r>
    </w:p>
    <w:p w14:paraId="7B67BCD6" w14:textId="77777777" w:rsidR="00DD39EA" w:rsidRPr="00992185" w:rsidRDefault="00DD39EA" w:rsidP="0039487B">
      <w:pPr>
        <w:pStyle w:val="ListParagraph"/>
        <w:numPr>
          <w:ilvl w:val="0"/>
          <w:numId w:val="32"/>
        </w:numPr>
        <w:spacing w:after="200" w:line="240" w:lineRule="auto"/>
        <w:rPr>
          <w:rFonts w:ascii="Calibri" w:eastAsia="Calibri" w:hAnsi="Calibri" w:cs="Times New Roman"/>
          <w:b w:val="0"/>
          <w:color w:val="000000"/>
          <w:sz w:val="24"/>
          <w:szCs w:val="24"/>
          <w:lang w:val="es-AR"/>
        </w:rPr>
      </w:pPr>
      <w:r w:rsidRPr="00992185">
        <w:rPr>
          <w:rFonts w:ascii="Calibri" w:eastAsia="Calibri" w:hAnsi="Calibri" w:cs="Times New Roman"/>
          <w:b w:val="0"/>
          <w:color w:val="000000"/>
          <w:sz w:val="24"/>
          <w:szCs w:val="24"/>
          <w:lang w:val="es-AR"/>
        </w:rPr>
        <w:t>Alentar el consumo de vegetales y frutas con bajo contenido de azúcar.</w:t>
      </w:r>
    </w:p>
    <w:p w14:paraId="55C4642A" w14:textId="77777777" w:rsidR="00DD39EA" w:rsidRPr="00992185" w:rsidRDefault="00DD39EA" w:rsidP="0039487B">
      <w:pPr>
        <w:pStyle w:val="ListParagraph"/>
        <w:numPr>
          <w:ilvl w:val="0"/>
          <w:numId w:val="32"/>
        </w:numPr>
        <w:spacing w:after="200" w:line="240" w:lineRule="auto"/>
        <w:rPr>
          <w:rFonts w:ascii="Calibri" w:eastAsia="Calibri" w:hAnsi="Calibri" w:cs="Times New Roman"/>
          <w:b w:val="0"/>
          <w:color w:val="000000"/>
          <w:sz w:val="24"/>
          <w:szCs w:val="24"/>
          <w:lang w:val="es-AR"/>
        </w:rPr>
      </w:pPr>
      <w:r w:rsidRPr="00992185">
        <w:rPr>
          <w:rFonts w:ascii="Calibri" w:eastAsia="Calibri" w:hAnsi="Calibri" w:cs="Times New Roman"/>
          <w:b w:val="0"/>
          <w:color w:val="000000"/>
          <w:sz w:val="24"/>
          <w:szCs w:val="24"/>
          <w:lang w:val="es-AR"/>
        </w:rPr>
        <w:t xml:space="preserve">Seguimiento con </w:t>
      </w:r>
      <w:proofErr w:type="gramStart"/>
      <w:r w:rsidRPr="00992185">
        <w:rPr>
          <w:rFonts w:ascii="Calibri" w:eastAsia="Calibri" w:hAnsi="Calibri" w:cs="Times New Roman"/>
          <w:b w:val="0"/>
          <w:color w:val="000000"/>
          <w:sz w:val="24"/>
          <w:szCs w:val="24"/>
          <w:lang w:val="es-AR"/>
        </w:rPr>
        <w:t>un  nutricionista</w:t>
      </w:r>
      <w:proofErr w:type="gramEnd"/>
      <w:r w:rsidRPr="00992185">
        <w:rPr>
          <w:rFonts w:ascii="Calibri" w:eastAsia="Calibri" w:hAnsi="Calibri" w:cs="Times New Roman"/>
          <w:b w:val="0"/>
          <w:color w:val="000000"/>
          <w:sz w:val="24"/>
          <w:szCs w:val="24"/>
          <w:lang w:val="es-AR"/>
        </w:rPr>
        <w:t xml:space="preserve"> pediátrico es lo esperable después del primer año.</w:t>
      </w:r>
    </w:p>
    <w:p w14:paraId="6A437400" w14:textId="77777777" w:rsidR="00DD39EA" w:rsidRPr="00992185" w:rsidRDefault="00DD39EA" w:rsidP="0039487B">
      <w:pPr>
        <w:pStyle w:val="ListParagraph"/>
        <w:numPr>
          <w:ilvl w:val="0"/>
          <w:numId w:val="32"/>
        </w:numPr>
        <w:spacing w:after="200" w:line="240" w:lineRule="auto"/>
        <w:rPr>
          <w:rFonts w:ascii="Calibri" w:eastAsia="Calibri" w:hAnsi="Calibri" w:cs="Times New Roman"/>
          <w:b w:val="0"/>
          <w:color w:val="000000"/>
          <w:sz w:val="24"/>
          <w:szCs w:val="24"/>
          <w:lang w:val="es-AR"/>
        </w:rPr>
      </w:pPr>
      <w:r w:rsidRPr="00992185">
        <w:rPr>
          <w:rFonts w:ascii="Calibri" w:eastAsia="Calibri" w:hAnsi="Calibri" w:cs="Times New Roman"/>
          <w:b w:val="0"/>
          <w:color w:val="000000"/>
          <w:sz w:val="24"/>
          <w:szCs w:val="24"/>
          <w:lang w:val="es-AR"/>
        </w:rPr>
        <w:t>El suplemento vitamínico es esencial sumado a una dieta baja en calorías, priorizando proteínas.</w:t>
      </w:r>
    </w:p>
    <w:p w14:paraId="38C60E8C" w14:textId="77777777" w:rsidR="00DD39EA" w:rsidRPr="00992185" w:rsidRDefault="00DD39EA" w:rsidP="0039487B">
      <w:pPr>
        <w:pStyle w:val="ListParagraph"/>
        <w:numPr>
          <w:ilvl w:val="0"/>
          <w:numId w:val="32"/>
        </w:numPr>
        <w:spacing w:after="200" w:line="240" w:lineRule="auto"/>
        <w:rPr>
          <w:rFonts w:ascii="Calibri" w:eastAsia="Calibri" w:hAnsi="Calibri" w:cs="Times New Roman"/>
          <w:b w:val="0"/>
          <w:color w:val="000000"/>
          <w:sz w:val="24"/>
          <w:szCs w:val="24"/>
          <w:lang w:val="es-AR"/>
        </w:rPr>
      </w:pPr>
      <w:r w:rsidRPr="00992185">
        <w:rPr>
          <w:rFonts w:ascii="Calibri" w:eastAsia="Calibri" w:hAnsi="Calibri" w:cs="Times New Roman"/>
          <w:b w:val="0"/>
          <w:color w:val="000000"/>
          <w:sz w:val="24"/>
          <w:szCs w:val="24"/>
          <w:lang w:val="es-AR"/>
        </w:rPr>
        <w:t xml:space="preserve">Alentar la comida sana y la actividad física familiar. </w:t>
      </w:r>
    </w:p>
    <w:p w14:paraId="1977D020" w14:textId="77777777" w:rsidR="00697F8C" w:rsidRDefault="00697F8C" w:rsidP="0039487B">
      <w:pPr>
        <w:spacing w:after="200" w:line="240" w:lineRule="auto"/>
        <w:rPr>
          <w:rFonts w:ascii="Calibri" w:eastAsia="Calibri" w:hAnsi="Calibri" w:cs="Times New Roman"/>
          <w:color w:val="000000"/>
          <w:szCs w:val="28"/>
          <w:lang w:val="es-AR"/>
        </w:rPr>
      </w:pPr>
    </w:p>
    <w:p w14:paraId="317A20FC" w14:textId="77777777" w:rsidR="00697F8C" w:rsidRDefault="00697F8C" w:rsidP="0039487B">
      <w:pPr>
        <w:spacing w:after="200" w:line="240" w:lineRule="auto"/>
        <w:rPr>
          <w:rFonts w:ascii="Calibri" w:eastAsia="Calibri" w:hAnsi="Calibri" w:cs="Times New Roman"/>
          <w:color w:val="000000"/>
          <w:szCs w:val="28"/>
          <w:lang w:val="es-AR"/>
        </w:rPr>
      </w:pPr>
    </w:p>
    <w:p w14:paraId="3B6FD34D" w14:textId="24782D9A" w:rsidR="00DD39EA" w:rsidRPr="00DD39EA" w:rsidRDefault="00DD39EA" w:rsidP="0039487B">
      <w:pPr>
        <w:spacing w:after="200" w:line="240" w:lineRule="auto"/>
        <w:rPr>
          <w:rFonts w:ascii="Calibri" w:eastAsia="Calibri" w:hAnsi="Calibri" w:cs="Times New Roman"/>
          <w:color w:val="000000"/>
          <w:szCs w:val="28"/>
          <w:lang w:val="es-AR"/>
        </w:rPr>
      </w:pPr>
      <w:r w:rsidRPr="00DD39EA">
        <w:rPr>
          <w:rFonts w:ascii="Calibri" w:eastAsia="Calibri" w:hAnsi="Calibri" w:cs="Times New Roman"/>
          <w:color w:val="000000"/>
          <w:szCs w:val="28"/>
          <w:lang w:val="es-AR"/>
        </w:rPr>
        <w:t xml:space="preserve">Medicación: </w:t>
      </w:r>
    </w:p>
    <w:p w14:paraId="4C0A0604" w14:textId="77777777" w:rsidR="00DD39EA" w:rsidRPr="00DD39EA" w:rsidRDefault="00DD39EA" w:rsidP="0039487B">
      <w:pPr>
        <w:spacing w:after="200" w:line="240" w:lineRule="auto"/>
        <w:rPr>
          <w:rFonts w:ascii="Calibri" w:eastAsia="Calibri" w:hAnsi="Calibri" w:cs="Times New Roman"/>
          <w:b w:val="0"/>
          <w:color w:val="000000"/>
          <w:sz w:val="24"/>
          <w:szCs w:val="24"/>
          <w:lang w:val="es-AR"/>
        </w:rPr>
      </w:pPr>
      <w:r w:rsidRPr="00DD39EA">
        <w:rPr>
          <w:rFonts w:ascii="Calibri" w:eastAsia="Calibri" w:hAnsi="Calibri" w:cs="Times New Roman"/>
          <w:b w:val="0"/>
          <w:color w:val="000000"/>
          <w:sz w:val="24"/>
          <w:szCs w:val="24"/>
          <w:lang w:val="es-AR"/>
        </w:rPr>
        <w:t>Tratamiento con Hormona de Crecimiento (GH) debe comenzar el primer año de vida, una vez que el niño, alcance el estado nutricional apropiado.</w:t>
      </w:r>
    </w:p>
    <w:p w14:paraId="3795A783" w14:textId="77777777" w:rsidR="00DD39EA" w:rsidRPr="00AE2FE8" w:rsidRDefault="00DD39EA" w:rsidP="0039487B">
      <w:pPr>
        <w:pStyle w:val="ListParagraph"/>
        <w:numPr>
          <w:ilvl w:val="0"/>
          <w:numId w:val="33"/>
        </w:numPr>
        <w:spacing w:after="200" w:line="240" w:lineRule="auto"/>
        <w:rPr>
          <w:rFonts w:ascii="Calibri" w:eastAsia="Calibri" w:hAnsi="Calibri" w:cs="Times New Roman"/>
          <w:b w:val="0"/>
          <w:color w:val="000000"/>
          <w:sz w:val="24"/>
          <w:szCs w:val="24"/>
          <w:lang w:val="es-AR"/>
        </w:rPr>
      </w:pPr>
      <w:r w:rsidRPr="00AE2FE8">
        <w:rPr>
          <w:rFonts w:ascii="Calibri" w:eastAsia="Calibri" w:hAnsi="Calibri" w:cs="Times New Roman"/>
          <w:b w:val="0"/>
          <w:color w:val="000000"/>
          <w:sz w:val="24"/>
          <w:szCs w:val="24"/>
          <w:lang w:val="es-AR"/>
        </w:rPr>
        <w:t xml:space="preserve">Las dosis deben ser monitoreadas cuidadosamente por el endocrinólogo. </w:t>
      </w:r>
    </w:p>
    <w:p w14:paraId="03482130" w14:textId="77777777" w:rsidR="00DD39EA" w:rsidRPr="00AE2FE8" w:rsidRDefault="00DD39EA" w:rsidP="0039487B">
      <w:pPr>
        <w:pStyle w:val="ListParagraph"/>
        <w:numPr>
          <w:ilvl w:val="0"/>
          <w:numId w:val="33"/>
        </w:numPr>
        <w:spacing w:after="200" w:line="240" w:lineRule="auto"/>
        <w:rPr>
          <w:rFonts w:ascii="Calibri" w:eastAsia="Calibri" w:hAnsi="Calibri" w:cs="Times New Roman"/>
          <w:b w:val="0"/>
          <w:color w:val="000000"/>
          <w:sz w:val="24"/>
          <w:szCs w:val="24"/>
          <w:lang w:val="es-AR"/>
        </w:rPr>
      </w:pPr>
      <w:r w:rsidRPr="00AE2FE8">
        <w:rPr>
          <w:rFonts w:ascii="Calibri" w:eastAsia="Calibri" w:hAnsi="Calibri" w:cs="Times New Roman"/>
          <w:b w:val="0"/>
          <w:color w:val="000000"/>
          <w:sz w:val="24"/>
          <w:szCs w:val="24"/>
          <w:lang w:val="es-AR"/>
        </w:rPr>
        <w:t>Antes de comenzar con la hormona de crecimiento (GH</w:t>
      </w:r>
      <w:proofErr w:type="gramStart"/>
      <w:r w:rsidRPr="00AE2FE8">
        <w:rPr>
          <w:rFonts w:ascii="Calibri" w:eastAsia="Calibri" w:hAnsi="Calibri" w:cs="Times New Roman"/>
          <w:b w:val="0"/>
          <w:color w:val="000000"/>
          <w:sz w:val="24"/>
          <w:szCs w:val="24"/>
          <w:lang w:val="es-AR"/>
        </w:rPr>
        <w:t>),  un</w:t>
      </w:r>
      <w:proofErr w:type="gramEnd"/>
      <w:r w:rsidRPr="00AE2FE8">
        <w:rPr>
          <w:rFonts w:ascii="Calibri" w:eastAsia="Calibri" w:hAnsi="Calibri" w:cs="Times New Roman"/>
          <w:b w:val="0"/>
          <w:color w:val="000000"/>
          <w:sz w:val="24"/>
          <w:szCs w:val="24"/>
          <w:lang w:val="es-AR"/>
        </w:rPr>
        <w:t xml:space="preserve"> estudio de base que debe hacerse si es posible,  es el estudio del sueño, y luego repetirlo aproximadamente de 6 a 8 semanas para evaluar si hay empeoramiento de las apneas obstructivas. </w:t>
      </w:r>
    </w:p>
    <w:p w14:paraId="012DE4B1" w14:textId="77777777" w:rsidR="00DD39EA" w:rsidRPr="00AE2FE8" w:rsidRDefault="00DD39EA" w:rsidP="0039487B">
      <w:pPr>
        <w:pStyle w:val="ListParagraph"/>
        <w:numPr>
          <w:ilvl w:val="0"/>
          <w:numId w:val="33"/>
        </w:numPr>
        <w:spacing w:after="200" w:line="240" w:lineRule="auto"/>
        <w:rPr>
          <w:rFonts w:ascii="Calibri" w:eastAsia="Calibri" w:hAnsi="Calibri" w:cs="Times New Roman"/>
          <w:b w:val="0"/>
          <w:color w:val="000000"/>
          <w:sz w:val="24"/>
          <w:szCs w:val="24"/>
          <w:lang w:val="es-AR"/>
        </w:rPr>
      </w:pPr>
      <w:r w:rsidRPr="00AE2FE8">
        <w:rPr>
          <w:rFonts w:ascii="Calibri" w:eastAsia="Calibri" w:hAnsi="Calibri" w:cs="Times New Roman"/>
          <w:b w:val="0"/>
          <w:color w:val="000000"/>
          <w:sz w:val="24"/>
          <w:szCs w:val="24"/>
          <w:lang w:val="es-AR"/>
        </w:rPr>
        <w:t xml:space="preserve">Considerar la consulta con otorrinolaringología antes y después de comenzar con la hormona de crecimiento para evaluar el tejido linfoide de la garganta. </w:t>
      </w:r>
    </w:p>
    <w:p w14:paraId="58AAFAE5" w14:textId="77777777" w:rsidR="00DD39EA" w:rsidRPr="00DD39EA" w:rsidRDefault="00DD39EA" w:rsidP="0039487B">
      <w:pPr>
        <w:spacing w:after="200" w:line="240" w:lineRule="auto"/>
        <w:rPr>
          <w:rFonts w:ascii="Calibri" w:eastAsia="Calibri" w:hAnsi="Calibri" w:cs="Times New Roman"/>
          <w:color w:val="000000"/>
          <w:szCs w:val="28"/>
          <w:lang w:val="es-AR"/>
        </w:rPr>
      </w:pPr>
      <w:r w:rsidRPr="00DD39EA">
        <w:rPr>
          <w:rFonts w:ascii="Calibri" w:eastAsia="Calibri" w:hAnsi="Calibri" w:cs="Times New Roman"/>
          <w:color w:val="000000"/>
          <w:szCs w:val="28"/>
          <w:lang w:val="es-AR"/>
        </w:rPr>
        <w:t xml:space="preserve">Examen Genital: </w:t>
      </w:r>
    </w:p>
    <w:p w14:paraId="3268148E" w14:textId="77777777" w:rsidR="00DD39EA" w:rsidRPr="00DD39EA" w:rsidRDefault="00DD39EA" w:rsidP="0039487B">
      <w:pPr>
        <w:spacing w:after="200" w:line="240" w:lineRule="auto"/>
        <w:rPr>
          <w:rFonts w:ascii="Calibri" w:eastAsia="Calibri" w:hAnsi="Calibri" w:cs="Times New Roman"/>
          <w:b w:val="0"/>
          <w:color w:val="000000"/>
          <w:sz w:val="24"/>
          <w:szCs w:val="24"/>
          <w:lang w:val="es-AR"/>
        </w:rPr>
      </w:pPr>
      <w:r w:rsidRPr="00DD39EA">
        <w:rPr>
          <w:rFonts w:ascii="Calibri" w:eastAsia="Calibri" w:hAnsi="Calibri" w:cs="Times New Roman"/>
          <w:b w:val="0"/>
          <w:color w:val="000000"/>
          <w:sz w:val="24"/>
          <w:szCs w:val="24"/>
          <w:lang w:val="es-AR"/>
        </w:rPr>
        <w:t xml:space="preserve">Tanto mujeres como hombres tienen hipogonadismo, pero es más evidente en masculinos. </w:t>
      </w:r>
    </w:p>
    <w:p w14:paraId="5DE94B80" w14:textId="77777777" w:rsidR="00DD39EA" w:rsidRPr="005C0B88" w:rsidRDefault="00DD39EA" w:rsidP="0039487B">
      <w:pPr>
        <w:pStyle w:val="ListParagraph"/>
        <w:numPr>
          <w:ilvl w:val="0"/>
          <w:numId w:val="34"/>
        </w:numPr>
        <w:spacing w:after="200" w:line="240" w:lineRule="auto"/>
        <w:rPr>
          <w:rFonts w:ascii="Calibri" w:eastAsia="Calibri" w:hAnsi="Calibri" w:cs="Times New Roman"/>
          <w:b w:val="0"/>
          <w:color w:val="000000"/>
          <w:sz w:val="24"/>
          <w:szCs w:val="24"/>
          <w:lang w:val="es-AR"/>
        </w:rPr>
      </w:pPr>
      <w:r w:rsidRPr="005C0B88">
        <w:rPr>
          <w:rFonts w:ascii="Calibri" w:eastAsia="Calibri" w:hAnsi="Calibri" w:cs="Times New Roman"/>
          <w:b w:val="0"/>
          <w:color w:val="000000"/>
          <w:sz w:val="24"/>
          <w:szCs w:val="24"/>
          <w:lang w:val="es-AR"/>
        </w:rPr>
        <w:t>Las mujeres frecuentemente tienen hipoplasia de los labios mayores, menores y clítoris.</w:t>
      </w:r>
    </w:p>
    <w:p w14:paraId="5A024504" w14:textId="77777777" w:rsidR="00DD39EA" w:rsidRPr="005C0B88" w:rsidRDefault="00DD39EA" w:rsidP="0039487B">
      <w:pPr>
        <w:pStyle w:val="ListParagraph"/>
        <w:numPr>
          <w:ilvl w:val="0"/>
          <w:numId w:val="34"/>
        </w:numPr>
        <w:spacing w:after="200" w:line="240" w:lineRule="auto"/>
        <w:rPr>
          <w:rFonts w:ascii="Calibri" w:eastAsia="Calibri" w:hAnsi="Calibri" w:cs="Times New Roman"/>
          <w:b w:val="0"/>
          <w:color w:val="000000"/>
          <w:sz w:val="24"/>
          <w:szCs w:val="24"/>
          <w:lang w:val="es-AR"/>
        </w:rPr>
      </w:pPr>
      <w:r w:rsidRPr="005C0B88">
        <w:rPr>
          <w:rFonts w:ascii="Calibri" w:eastAsia="Calibri" w:hAnsi="Calibri" w:cs="Times New Roman"/>
          <w:b w:val="0"/>
          <w:color w:val="000000"/>
          <w:sz w:val="24"/>
          <w:szCs w:val="24"/>
          <w:lang w:val="es-AR"/>
        </w:rPr>
        <w:t>Los varones tienen hipoplasia en los sacos del escroto y criptorquidia, y frecuentemente un pene pequeño.</w:t>
      </w:r>
    </w:p>
    <w:p w14:paraId="241E8A4A" w14:textId="77777777" w:rsidR="00DD39EA" w:rsidRPr="005C0B88" w:rsidRDefault="00DD39EA" w:rsidP="0039487B">
      <w:pPr>
        <w:pStyle w:val="ListParagraph"/>
        <w:numPr>
          <w:ilvl w:val="0"/>
          <w:numId w:val="34"/>
        </w:numPr>
        <w:spacing w:after="200" w:line="240" w:lineRule="auto"/>
        <w:rPr>
          <w:rFonts w:ascii="Calibri" w:eastAsia="Calibri" w:hAnsi="Calibri" w:cs="Times New Roman"/>
          <w:b w:val="0"/>
          <w:color w:val="000000"/>
          <w:sz w:val="24"/>
          <w:szCs w:val="24"/>
          <w:lang w:val="es-AR"/>
        </w:rPr>
      </w:pPr>
      <w:r w:rsidRPr="005C0B88">
        <w:rPr>
          <w:rFonts w:ascii="Calibri" w:eastAsia="Calibri" w:hAnsi="Calibri" w:cs="Times New Roman"/>
          <w:b w:val="0"/>
          <w:color w:val="000000"/>
          <w:sz w:val="24"/>
          <w:szCs w:val="24"/>
          <w:lang w:val="es-AR"/>
        </w:rPr>
        <w:t xml:space="preserve">La prueba de gonadotropina coriónica humana (HCG), en varones bajo supervisión de endocrinólogo pediátrico, puede beneficiar antes de la </w:t>
      </w:r>
      <w:proofErr w:type="spellStart"/>
      <w:r w:rsidRPr="005C0B88">
        <w:rPr>
          <w:rFonts w:ascii="Calibri" w:eastAsia="Calibri" w:hAnsi="Calibri" w:cs="Times New Roman"/>
          <w:b w:val="0"/>
          <w:color w:val="000000"/>
          <w:sz w:val="24"/>
          <w:szCs w:val="24"/>
          <w:lang w:val="es-AR"/>
        </w:rPr>
        <w:t>orquidopexia</w:t>
      </w:r>
      <w:proofErr w:type="spellEnd"/>
      <w:r w:rsidRPr="005C0B88">
        <w:rPr>
          <w:rFonts w:ascii="Calibri" w:eastAsia="Calibri" w:hAnsi="Calibri" w:cs="Times New Roman"/>
          <w:b w:val="0"/>
          <w:color w:val="000000"/>
          <w:sz w:val="24"/>
          <w:szCs w:val="24"/>
          <w:lang w:val="es-AR"/>
        </w:rPr>
        <w:t xml:space="preserve">. </w:t>
      </w:r>
    </w:p>
    <w:p w14:paraId="42ABF892" w14:textId="7C90EFC9" w:rsidR="00DD39EA" w:rsidRPr="005C0B88" w:rsidRDefault="00DD39EA" w:rsidP="0039487B">
      <w:pPr>
        <w:pStyle w:val="ListParagraph"/>
        <w:numPr>
          <w:ilvl w:val="0"/>
          <w:numId w:val="34"/>
        </w:numPr>
        <w:spacing w:after="200" w:line="240" w:lineRule="auto"/>
        <w:rPr>
          <w:rFonts w:ascii="Calibri" w:eastAsia="Calibri" w:hAnsi="Calibri" w:cs="Times New Roman"/>
          <w:b w:val="0"/>
          <w:color w:val="000000"/>
          <w:sz w:val="24"/>
          <w:szCs w:val="24"/>
          <w:lang w:val="es-AR"/>
        </w:rPr>
      </w:pPr>
      <w:r w:rsidRPr="005C0B88">
        <w:rPr>
          <w:rFonts w:ascii="Calibri" w:eastAsia="Calibri" w:hAnsi="Calibri" w:cs="Times New Roman"/>
          <w:b w:val="0"/>
          <w:color w:val="000000"/>
          <w:sz w:val="24"/>
          <w:szCs w:val="24"/>
          <w:lang w:val="es-AR"/>
        </w:rPr>
        <w:t xml:space="preserve">La </w:t>
      </w:r>
      <w:proofErr w:type="spellStart"/>
      <w:r w:rsidRPr="005C0B88">
        <w:rPr>
          <w:rFonts w:ascii="Calibri" w:eastAsia="Calibri" w:hAnsi="Calibri" w:cs="Times New Roman"/>
          <w:b w:val="0"/>
          <w:color w:val="000000"/>
          <w:sz w:val="24"/>
          <w:szCs w:val="24"/>
          <w:lang w:val="es-AR"/>
        </w:rPr>
        <w:t>orquidopexia</w:t>
      </w:r>
      <w:proofErr w:type="spellEnd"/>
      <w:r w:rsidRPr="005C0B88">
        <w:rPr>
          <w:rFonts w:ascii="Calibri" w:eastAsia="Calibri" w:hAnsi="Calibri" w:cs="Times New Roman"/>
          <w:b w:val="0"/>
          <w:color w:val="000000"/>
          <w:sz w:val="24"/>
          <w:szCs w:val="24"/>
          <w:lang w:val="es-AR"/>
        </w:rPr>
        <w:t xml:space="preserve"> debe realizarse entre los 6 a 12 meses de edad.</w:t>
      </w:r>
    </w:p>
    <w:p w14:paraId="77CA7949" w14:textId="77777777" w:rsidR="00DD39EA" w:rsidRPr="00DD39EA" w:rsidRDefault="00DD39EA" w:rsidP="0039487B">
      <w:pPr>
        <w:spacing w:after="200" w:line="240" w:lineRule="auto"/>
        <w:rPr>
          <w:rFonts w:ascii="Calibri" w:eastAsia="Calibri" w:hAnsi="Calibri" w:cs="Times New Roman"/>
          <w:color w:val="000000"/>
          <w:szCs w:val="28"/>
          <w:lang w:val="es-AR"/>
        </w:rPr>
      </w:pPr>
      <w:r w:rsidRPr="00DD39EA">
        <w:rPr>
          <w:rFonts w:ascii="Calibri" w:eastAsia="Calibri" w:hAnsi="Calibri" w:cs="Times New Roman"/>
          <w:color w:val="000000"/>
          <w:szCs w:val="28"/>
          <w:lang w:val="es-AR"/>
        </w:rPr>
        <w:t xml:space="preserve">Laboratorio: </w:t>
      </w:r>
    </w:p>
    <w:p w14:paraId="2D9BCA73" w14:textId="77777777" w:rsidR="00DD39EA" w:rsidRPr="00F66AD1" w:rsidRDefault="00DD39EA" w:rsidP="0039487B">
      <w:pPr>
        <w:pStyle w:val="ListParagraph"/>
        <w:numPr>
          <w:ilvl w:val="0"/>
          <w:numId w:val="35"/>
        </w:numPr>
        <w:spacing w:after="200" w:line="240" w:lineRule="auto"/>
        <w:rPr>
          <w:rFonts w:ascii="Calibri" w:eastAsia="Calibri" w:hAnsi="Calibri" w:cs="Times New Roman"/>
          <w:b w:val="0"/>
          <w:color w:val="000000"/>
          <w:sz w:val="24"/>
          <w:szCs w:val="24"/>
          <w:lang w:val="es-AR"/>
        </w:rPr>
      </w:pPr>
      <w:r w:rsidRPr="00F66AD1">
        <w:rPr>
          <w:rFonts w:ascii="Calibri" w:eastAsia="Calibri" w:hAnsi="Calibri" w:cs="Times New Roman"/>
          <w:b w:val="0"/>
          <w:color w:val="000000"/>
          <w:sz w:val="24"/>
          <w:szCs w:val="24"/>
          <w:lang w:val="es-AR"/>
        </w:rPr>
        <w:t xml:space="preserve">Realizar screening neonatal para recién nacidos, según el protocolo estándar para recién nacidos. </w:t>
      </w:r>
    </w:p>
    <w:p w14:paraId="4CB26B07" w14:textId="77777777" w:rsidR="00DD39EA" w:rsidRPr="00F66AD1" w:rsidRDefault="00DD39EA" w:rsidP="0039487B">
      <w:pPr>
        <w:pStyle w:val="ListParagraph"/>
        <w:numPr>
          <w:ilvl w:val="0"/>
          <w:numId w:val="35"/>
        </w:numPr>
        <w:spacing w:after="200" w:line="240" w:lineRule="auto"/>
        <w:rPr>
          <w:rFonts w:ascii="Calibri" w:eastAsia="Calibri" w:hAnsi="Calibri" w:cs="Times New Roman"/>
          <w:b w:val="0"/>
          <w:color w:val="000000"/>
          <w:sz w:val="24"/>
          <w:szCs w:val="24"/>
          <w:lang w:val="es-AR"/>
        </w:rPr>
      </w:pPr>
      <w:r w:rsidRPr="00F66AD1">
        <w:rPr>
          <w:rFonts w:ascii="Calibri" w:eastAsia="Calibri" w:hAnsi="Calibri" w:cs="Times New Roman"/>
          <w:b w:val="0"/>
          <w:color w:val="000000"/>
          <w:sz w:val="24"/>
          <w:szCs w:val="24"/>
          <w:lang w:val="es-AR"/>
        </w:rPr>
        <w:t>Evaluar función tiroidea (T4 libre y TSH) anualmente y previo a comenzar con hormona de crecimiento (GH)</w:t>
      </w:r>
    </w:p>
    <w:p w14:paraId="73C0CFCB" w14:textId="77777777" w:rsidR="00DD39EA" w:rsidRPr="00F66AD1" w:rsidRDefault="00DD39EA" w:rsidP="0039487B">
      <w:pPr>
        <w:pStyle w:val="ListParagraph"/>
        <w:numPr>
          <w:ilvl w:val="0"/>
          <w:numId w:val="35"/>
        </w:numPr>
        <w:spacing w:after="200" w:line="240" w:lineRule="auto"/>
        <w:rPr>
          <w:rFonts w:ascii="Calibri" w:eastAsia="Calibri" w:hAnsi="Calibri" w:cs="Times New Roman"/>
          <w:b w:val="0"/>
          <w:color w:val="auto"/>
          <w:sz w:val="24"/>
          <w:szCs w:val="24"/>
          <w:lang w:val="es-AR"/>
        </w:rPr>
      </w:pPr>
      <w:r w:rsidRPr="00F66AD1">
        <w:rPr>
          <w:rFonts w:ascii="Calibri" w:eastAsia="Calibri" w:hAnsi="Calibri" w:cs="Times New Roman"/>
          <w:b w:val="0"/>
          <w:color w:val="auto"/>
          <w:sz w:val="24"/>
          <w:szCs w:val="24"/>
          <w:lang w:val="es-AR"/>
        </w:rPr>
        <w:t>Dosaje de IGF-1 y IGFBP si está bajo tratamiento con hormona de crecimiento (GH)</w:t>
      </w:r>
    </w:p>
    <w:p w14:paraId="46F0A04C" w14:textId="77777777" w:rsidR="00DD39EA" w:rsidRPr="00F66AD1" w:rsidRDefault="00DD39EA" w:rsidP="0039487B">
      <w:pPr>
        <w:pStyle w:val="ListParagraph"/>
        <w:numPr>
          <w:ilvl w:val="0"/>
          <w:numId w:val="35"/>
        </w:numPr>
        <w:spacing w:after="200" w:line="240" w:lineRule="auto"/>
        <w:rPr>
          <w:rFonts w:ascii="Calibri" w:eastAsia="Calibri" w:hAnsi="Calibri" w:cs="Times New Roman"/>
          <w:b w:val="0"/>
          <w:color w:val="auto"/>
          <w:sz w:val="24"/>
          <w:szCs w:val="24"/>
          <w:lang w:val="es-AR"/>
        </w:rPr>
      </w:pPr>
      <w:r w:rsidRPr="00F66AD1">
        <w:rPr>
          <w:rFonts w:ascii="Calibri" w:eastAsia="Calibri" w:hAnsi="Calibri" w:cs="Times New Roman"/>
          <w:b w:val="0"/>
          <w:color w:val="auto"/>
          <w:sz w:val="24"/>
          <w:szCs w:val="24"/>
          <w:lang w:val="es-AR"/>
        </w:rPr>
        <w:t xml:space="preserve">Dosaje de cortisol en sangre matutino previo a la hormona de crecimiento y a cualquier procedimiento quirúrgico que requiera anestesia, así como los episodios de enfermedad grave. </w:t>
      </w:r>
    </w:p>
    <w:p w14:paraId="18425FB3" w14:textId="77777777" w:rsidR="00DD39EA" w:rsidRPr="00F66AD1" w:rsidRDefault="00DD39EA" w:rsidP="0039487B">
      <w:pPr>
        <w:pStyle w:val="ListParagraph"/>
        <w:numPr>
          <w:ilvl w:val="0"/>
          <w:numId w:val="35"/>
        </w:numPr>
        <w:spacing w:after="200" w:line="240" w:lineRule="auto"/>
        <w:rPr>
          <w:rFonts w:ascii="Calibri" w:eastAsia="Calibri" w:hAnsi="Calibri" w:cs="Times New Roman"/>
          <w:b w:val="0"/>
          <w:color w:val="auto"/>
          <w:sz w:val="24"/>
          <w:szCs w:val="24"/>
          <w:lang w:val="es-AR"/>
        </w:rPr>
      </w:pPr>
      <w:r w:rsidRPr="00F66AD1">
        <w:rPr>
          <w:rFonts w:ascii="Calibri" w:eastAsia="Calibri" w:hAnsi="Calibri" w:cs="Times New Roman"/>
          <w:b w:val="0"/>
          <w:color w:val="auto"/>
          <w:sz w:val="24"/>
          <w:szCs w:val="24"/>
          <w:lang w:val="es-AR"/>
        </w:rPr>
        <w:t>Laboratorios de rutina pediátrica.</w:t>
      </w:r>
    </w:p>
    <w:p w14:paraId="44FB3BE3" w14:textId="77777777" w:rsidR="00DD39EA" w:rsidRPr="00DD39EA" w:rsidRDefault="00DD39EA" w:rsidP="0039487B">
      <w:pPr>
        <w:spacing w:after="200" w:line="240" w:lineRule="auto"/>
        <w:rPr>
          <w:rFonts w:ascii="Calibri" w:eastAsia="Calibri" w:hAnsi="Calibri" w:cs="Times New Roman"/>
          <w:color w:val="auto"/>
          <w:szCs w:val="28"/>
          <w:lang w:val="es-AR"/>
        </w:rPr>
      </w:pPr>
      <w:r w:rsidRPr="00DD39EA">
        <w:rPr>
          <w:rFonts w:ascii="Calibri" w:eastAsia="Calibri" w:hAnsi="Calibri" w:cs="Times New Roman"/>
          <w:color w:val="auto"/>
          <w:szCs w:val="28"/>
          <w:lang w:val="es-AR"/>
        </w:rPr>
        <w:t xml:space="preserve">Hitos del desarrollo: </w:t>
      </w:r>
    </w:p>
    <w:p w14:paraId="75354CED" w14:textId="77777777" w:rsidR="00DD39EA" w:rsidRPr="00F66AD1" w:rsidRDefault="00DD39EA" w:rsidP="0039487B">
      <w:pPr>
        <w:pStyle w:val="ListParagraph"/>
        <w:numPr>
          <w:ilvl w:val="0"/>
          <w:numId w:val="36"/>
        </w:numPr>
        <w:spacing w:after="200" w:line="240" w:lineRule="auto"/>
        <w:rPr>
          <w:rFonts w:ascii="Calibri" w:eastAsia="Calibri" w:hAnsi="Calibri" w:cs="Times New Roman"/>
          <w:b w:val="0"/>
          <w:color w:val="auto"/>
          <w:sz w:val="24"/>
          <w:szCs w:val="24"/>
          <w:lang w:val="es-AR"/>
        </w:rPr>
      </w:pPr>
      <w:r w:rsidRPr="00F66AD1">
        <w:rPr>
          <w:rFonts w:ascii="Calibri" w:eastAsia="Calibri" w:hAnsi="Calibri" w:cs="Times New Roman"/>
          <w:b w:val="0"/>
          <w:color w:val="auto"/>
          <w:sz w:val="24"/>
          <w:szCs w:val="24"/>
          <w:lang w:val="es-AR"/>
        </w:rPr>
        <w:t xml:space="preserve">Presentan retraso en el desarrollo evolutivo </w:t>
      </w:r>
      <w:proofErr w:type="gramStart"/>
      <w:r w:rsidRPr="00F66AD1">
        <w:rPr>
          <w:rFonts w:ascii="Calibri" w:eastAsia="Calibri" w:hAnsi="Calibri" w:cs="Times New Roman"/>
          <w:b w:val="0"/>
          <w:color w:val="auto"/>
          <w:sz w:val="24"/>
          <w:szCs w:val="24"/>
          <w:lang w:val="es-AR"/>
        </w:rPr>
        <w:t>y  suele</w:t>
      </w:r>
      <w:proofErr w:type="gramEnd"/>
      <w:r w:rsidRPr="00F66AD1">
        <w:rPr>
          <w:rFonts w:ascii="Calibri" w:eastAsia="Calibri" w:hAnsi="Calibri" w:cs="Times New Roman"/>
          <w:b w:val="0"/>
          <w:color w:val="auto"/>
          <w:sz w:val="24"/>
          <w:szCs w:val="24"/>
          <w:lang w:val="es-AR"/>
        </w:rPr>
        <w:t xml:space="preserve"> duplicarse en tiempo la aparición de los hitos, en relación a otros niños de la edad.</w:t>
      </w:r>
    </w:p>
    <w:p w14:paraId="18D51BA8" w14:textId="77777777" w:rsidR="00DD39EA" w:rsidRPr="00F66AD1" w:rsidRDefault="00DD39EA" w:rsidP="0039487B">
      <w:pPr>
        <w:pStyle w:val="ListParagraph"/>
        <w:numPr>
          <w:ilvl w:val="0"/>
          <w:numId w:val="36"/>
        </w:numPr>
        <w:spacing w:after="200" w:line="240" w:lineRule="auto"/>
        <w:rPr>
          <w:rFonts w:ascii="Calibri" w:eastAsia="Calibri" w:hAnsi="Calibri" w:cs="Times New Roman"/>
          <w:b w:val="0"/>
          <w:color w:val="auto"/>
          <w:sz w:val="24"/>
          <w:szCs w:val="24"/>
          <w:lang w:val="es-AR"/>
        </w:rPr>
      </w:pPr>
      <w:r w:rsidRPr="00F66AD1">
        <w:rPr>
          <w:rFonts w:ascii="Calibri" w:eastAsia="Calibri" w:hAnsi="Calibri" w:cs="Times New Roman"/>
          <w:b w:val="0"/>
          <w:color w:val="auto"/>
          <w:sz w:val="24"/>
          <w:szCs w:val="24"/>
          <w:lang w:val="es-AR"/>
        </w:rPr>
        <w:t>Necesidad de intervenciones tempranas como Terapia Ocupacional, Física, y Fonoaudiología.</w:t>
      </w:r>
    </w:p>
    <w:p w14:paraId="4292C3BD" w14:textId="77777777" w:rsidR="00DD39EA" w:rsidRPr="00F66AD1" w:rsidRDefault="00DD39EA" w:rsidP="0039487B">
      <w:pPr>
        <w:pStyle w:val="ListParagraph"/>
        <w:numPr>
          <w:ilvl w:val="0"/>
          <w:numId w:val="36"/>
        </w:numPr>
        <w:spacing w:after="200" w:line="240" w:lineRule="auto"/>
        <w:rPr>
          <w:rFonts w:ascii="Calibri" w:eastAsia="Calibri" w:hAnsi="Calibri" w:cs="Times New Roman"/>
          <w:b w:val="0"/>
          <w:color w:val="auto"/>
          <w:sz w:val="24"/>
          <w:szCs w:val="24"/>
          <w:lang w:val="es-AR"/>
        </w:rPr>
      </w:pPr>
      <w:r w:rsidRPr="00F66AD1">
        <w:rPr>
          <w:rFonts w:ascii="Calibri" w:eastAsia="Calibri" w:hAnsi="Calibri" w:cs="Times New Roman"/>
          <w:b w:val="0"/>
          <w:color w:val="auto"/>
          <w:sz w:val="24"/>
          <w:szCs w:val="24"/>
          <w:lang w:val="es-AR"/>
        </w:rPr>
        <w:t xml:space="preserve">El uso de prótesis en tobillo o pie estabilizarán la </w:t>
      </w:r>
      <w:proofErr w:type="gramStart"/>
      <w:r w:rsidRPr="00F66AD1">
        <w:rPr>
          <w:rFonts w:ascii="Calibri" w:eastAsia="Calibri" w:hAnsi="Calibri" w:cs="Times New Roman"/>
          <w:b w:val="0"/>
          <w:color w:val="auto"/>
          <w:sz w:val="24"/>
          <w:szCs w:val="24"/>
          <w:lang w:val="es-AR"/>
        </w:rPr>
        <w:t>hipotonía  en</w:t>
      </w:r>
      <w:proofErr w:type="gramEnd"/>
      <w:r w:rsidRPr="00F66AD1">
        <w:rPr>
          <w:rFonts w:ascii="Calibri" w:eastAsia="Calibri" w:hAnsi="Calibri" w:cs="Times New Roman"/>
          <w:b w:val="0"/>
          <w:color w:val="auto"/>
          <w:sz w:val="24"/>
          <w:szCs w:val="24"/>
          <w:lang w:val="es-AR"/>
        </w:rPr>
        <w:t xml:space="preserve"> pie y tobillo, permitiendo antes estar de pie y caminar. </w:t>
      </w:r>
    </w:p>
    <w:p w14:paraId="136BFCFC" w14:textId="77777777" w:rsidR="00DD39EA" w:rsidRPr="00F66AD1" w:rsidRDefault="00DD39EA" w:rsidP="0039487B">
      <w:pPr>
        <w:pStyle w:val="ListParagraph"/>
        <w:numPr>
          <w:ilvl w:val="0"/>
          <w:numId w:val="36"/>
        </w:numPr>
        <w:spacing w:after="200" w:line="240" w:lineRule="auto"/>
        <w:rPr>
          <w:rFonts w:ascii="Calibri" w:eastAsia="Calibri" w:hAnsi="Calibri" w:cs="Times New Roman"/>
          <w:b w:val="0"/>
          <w:color w:val="auto"/>
          <w:sz w:val="24"/>
          <w:szCs w:val="24"/>
          <w:lang w:val="es-AR"/>
        </w:rPr>
      </w:pPr>
      <w:r w:rsidRPr="00F66AD1">
        <w:rPr>
          <w:rFonts w:ascii="Calibri" w:eastAsia="Calibri" w:hAnsi="Calibri" w:cs="Times New Roman"/>
          <w:b w:val="0"/>
          <w:color w:val="auto"/>
          <w:sz w:val="24"/>
          <w:szCs w:val="24"/>
          <w:lang w:val="es-AR"/>
        </w:rPr>
        <w:t>El uso de bastones puede ser reducido o discontinuado una vez que el niño logre la deambulación.</w:t>
      </w:r>
    </w:p>
    <w:p w14:paraId="604BD7D9" w14:textId="77777777" w:rsidR="00697F8C" w:rsidRDefault="00697F8C" w:rsidP="0039487B">
      <w:pPr>
        <w:spacing w:after="200" w:line="240" w:lineRule="auto"/>
        <w:rPr>
          <w:rFonts w:ascii="Calibri" w:eastAsia="Calibri" w:hAnsi="Calibri" w:cs="Times New Roman"/>
          <w:color w:val="auto"/>
          <w:szCs w:val="28"/>
          <w:lang w:val="es-AR"/>
        </w:rPr>
      </w:pPr>
    </w:p>
    <w:p w14:paraId="76CACFE2" w14:textId="35502FF0" w:rsidR="00DD39EA" w:rsidRPr="00DD39EA" w:rsidRDefault="00DD39EA" w:rsidP="0039487B">
      <w:pPr>
        <w:spacing w:after="200" w:line="240" w:lineRule="auto"/>
        <w:rPr>
          <w:rFonts w:ascii="Calibri" w:eastAsia="Calibri" w:hAnsi="Calibri" w:cs="Times New Roman"/>
          <w:b w:val="0"/>
          <w:color w:val="auto"/>
          <w:sz w:val="24"/>
          <w:szCs w:val="24"/>
          <w:lang w:val="es-AR"/>
        </w:rPr>
      </w:pPr>
      <w:r w:rsidRPr="00DD39EA">
        <w:rPr>
          <w:rFonts w:ascii="Calibri" w:eastAsia="Calibri" w:hAnsi="Calibri" w:cs="Times New Roman"/>
          <w:color w:val="auto"/>
          <w:szCs w:val="28"/>
          <w:lang w:val="es-AR"/>
        </w:rPr>
        <w:t>Cuidados Ortopédicos</w:t>
      </w:r>
      <w:r w:rsidRPr="00DD39EA">
        <w:rPr>
          <w:rFonts w:ascii="Calibri" w:eastAsia="Calibri" w:hAnsi="Calibri" w:cs="Times New Roman"/>
          <w:b w:val="0"/>
          <w:color w:val="auto"/>
          <w:sz w:val="24"/>
          <w:szCs w:val="24"/>
          <w:lang w:val="es-AR"/>
        </w:rPr>
        <w:t>:</w:t>
      </w:r>
    </w:p>
    <w:p w14:paraId="5D960B75" w14:textId="77777777" w:rsidR="00DD39EA" w:rsidRPr="00F66AD1" w:rsidRDefault="00DD39EA" w:rsidP="0039487B">
      <w:pPr>
        <w:pStyle w:val="ListParagraph"/>
        <w:numPr>
          <w:ilvl w:val="0"/>
          <w:numId w:val="37"/>
        </w:numPr>
        <w:spacing w:after="200" w:line="240" w:lineRule="auto"/>
        <w:rPr>
          <w:rFonts w:ascii="Calibri" w:eastAsia="Calibri" w:hAnsi="Calibri" w:cs="Times New Roman"/>
          <w:b w:val="0"/>
          <w:color w:val="auto"/>
          <w:sz w:val="24"/>
          <w:szCs w:val="24"/>
          <w:lang w:val="es-AR"/>
        </w:rPr>
      </w:pPr>
      <w:r w:rsidRPr="00F66AD1">
        <w:rPr>
          <w:rFonts w:ascii="Calibri" w:eastAsia="Calibri" w:hAnsi="Calibri" w:cs="Times New Roman"/>
          <w:b w:val="0"/>
          <w:color w:val="auto"/>
          <w:sz w:val="24"/>
          <w:szCs w:val="24"/>
          <w:lang w:val="es-AR"/>
        </w:rPr>
        <w:t xml:space="preserve">Escoliosis: El 40 % de los niños con SPW desarrollarán escoliosis, y la mitad de ellos comenzarán en la infancia. </w:t>
      </w:r>
    </w:p>
    <w:p w14:paraId="6042792B" w14:textId="77777777" w:rsidR="00DD39EA" w:rsidRPr="00F66AD1" w:rsidRDefault="00DD39EA" w:rsidP="0039487B">
      <w:pPr>
        <w:pStyle w:val="ListParagraph"/>
        <w:numPr>
          <w:ilvl w:val="0"/>
          <w:numId w:val="37"/>
        </w:numPr>
        <w:spacing w:after="200" w:line="240" w:lineRule="auto"/>
        <w:rPr>
          <w:rFonts w:ascii="Calibri" w:eastAsia="Calibri" w:hAnsi="Calibri" w:cs="Times New Roman"/>
          <w:b w:val="0"/>
          <w:color w:val="auto"/>
          <w:sz w:val="24"/>
          <w:szCs w:val="24"/>
          <w:lang w:val="es-AR"/>
        </w:rPr>
      </w:pPr>
      <w:r w:rsidRPr="00F66AD1">
        <w:rPr>
          <w:rFonts w:ascii="Calibri" w:eastAsia="Calibri" w:hAnsi="Calibri" w:cs="Times New Roman"/>
          <w:b w:val="0"/>
          <w:color w:val="auto"/>
          <w:sz w:val="24"/>
          <w:szCs w:val="24"/>
          <w:lang w:val="es-AR"/>
        </w:rPr>
        <w:t xml:space="preserve">No sentar a los niños en posición vertical hasta que sean capaces de sentarse solos. </w:t>
      </w:r>
    </w:p>
    <w:p w14:paraId="712F5583" w14:textId="77777777" w:rsidR="00DD39EA" w:rsidRPr="00F66AD1" w:rsidRDefault="00DD39EA" w:rsidP="0039487B">
      <w:pPr>
        <w:pStyle w:val="ListParagraph"/>
        <w:numPr>
          <w:ilvl w:val="0"/>
          <w:numId w:val="37"/>
        </w:numPr>
        <w:spacing w:after="200" w:line="240" w:lineRule="auto"/>
        <w:rPr>
          <w:rFonts w:ascii="Calibri" w:eastAsia="Calibri" w:hAnsi="Calibri" w:cs="Times New Roman"/>
          <w:b w:val="0"/>
          <w:color w:val="auto"/>
          <w:sz w:val="24"/>
          <w:szCs w:val="24"/>
          <w:lang w:val="es-AR"/>
        </w:rPr>
      </w:pPr>
      <w:r w:rsidRPr="00F66AD1">
        <w:rPr>
          <w:rFonts w:ascii="Calibri" w:eastAsia="Calibri" w:hAnsi="Calibri" w:cs="Times New Roman"/>
          <w:b w:val="0"/>
          <w:color w:val="auto"/>
          <w:sz w:val="24"/>
          <w:szCs w:val="24"/>
          <w:lang w:val="es-AR"/>
        </w:rPr>
        <w:t>Tenerlos sentados en posición encorvada puede predisponer al inicio de una curvatura espinal patológicas.</w:t>
      </w:r>
    </w:p>
    <w:p w14:paraId="3FF07C33" w14:textId="77777777" w:rsidR="00DD39EA" w:rsidRPr="00F66AD1" w:rsidRDefault="00DD39EA" w:rsidP="0039487B">
      <w:pPr>
        <w:pStyle w:val="ListParagraph"/>
        <w:numPr>
          <w:ilvl w:val="0"/>
          <w:numId w:val="37"/>
        </w:numPr>
        <w:spacing w:after="200" w:line="240" w:lineRule="auto"/>
        <w:rPr>
          <w:rFonts w:ascii="Calibri" w:eastAsia="Calibri" w:hAnsi="Calibri" w:cs="Times New Roman"/>
          <w:b w:val="0"/>
          <w:color w:val="auto"/>
          <w:sz w:val="24"/>
          <w:szCs w:val="24"/>
          <w:lang w:val="es-AR"/>
        </w:rPr>
      </w:pPr>
      <w:r w:rsidRPr="00F66AD1">
        <w:rPr>
          <w:rFonts w:ascii="Calibri" w:eastAsia="Calibri" w:hAnsi="Calibri" w:cs="Times New Roman"/>
          <w:b w:val="0"/>
          <w:color w:val="auto"/>
          <w:sz w:val="24"/>
          <w:szCs w:val="24"/>
          <w:lang w:val="es-AR"/>
        </w:rPr>
        <w:t xml:space="preserve">Hacer que los niños sean examinados por la escoliosis, para detectar mediante una radiografía sentado, </w:t>
      </w:r>
      <w:proofErr w:type="gramStart"/>
      <w:r w:rsidRPr="00F66AD1">
        <w:rPr>
          <w:rFonts w:ascii="Calibri" w:eastAsia="Calibri" w:hAnsi="Calibri" w:cs="Times New Roman"/>
          <w:b w:val="0"/>
          <w:color w:val="auto"/>
          <w:sz w:val="24"/>
          <w:szCs w:val="24"/>
          <w:lang w:val="es-AR"/>
        </w:rPr>
        <w:t>hasta  que</w:t>
      </w:r>
      <w:proofErr w:type="gramEnd"/>
      <w:r w:rsidRPr="00F66AD1">
        <w:rPr>
          <w:rFonts w:ascii="Calibri" w:eastAsia="Calibri" w:hAnsi="Calibri" w:cs="Times New Roman"/>
          <w:b w:val="0"/>
          <w:color w:val="auto"/>
          <w:sz w:val="24"/>
          <w:szCs w:val="24"/>
          <w:lang w:val="es-AR"/>
        </w:rPr>
        <w:t xml:space="preserve"> puedan sentarse por sí solos. </w:t>
      </w:r>
    </w:p>
    <w:p w14:paraId="07D982E1" w14:textId="77777777" w:rsidR="00DD39EA" w:rsidRPr="00F66AD1" w:rsidRDefault="00DD39EA" w:rsidP="0039487B">
      <w:pPr>
        <w:pStyle w:val="ListParagraph"/>
        <w:numPr>
          <w:ilvl w:val="0"/>
          <w:numId w:val="37"/>
        </w:numPr>
        <w:spacing w:after="200" w:line="240" w:lineRule="auto"/>
        <w:rPr>
          <w:rFonts w:ascii="Calibri" w:eastAsia="Calibri" w:hAnsi="Calibri" w:cs="Times New Roman"/>
          <w:b w:val="0"/>
          <w:color w:val="auto"/>
          <w:sz w:val="24"/>
          <w:szCs w:val="24"/>
          <w:lang w:val="es-AR"/>
        </w:rPr>
      </w:pPr>
      <w:r w:rsidRPr="00F66AD1">
        <w:rPr>
          <w:rFonts w:ascii="Calibri" w:eastAsia="Calibri" w:hAnsi="Calibri" w:cs="Times New Roman"/>
          <w:b w:val="0"/>
          <w:color w:val="auto"/>
          <w:sz w:val="24"/>
          <w:szCs w:val="24"/>
          <w:lang w:val="es-AR"/>
        </w:rPr>
        <w:t xml:space="preserve">El examen clínico en niños con SPW rara vez detecta curvas que se encuentren en rango de tratamiento óptimo. </w:t>
      </w:r>
    </w:p>
    <w:p w14:paraId="3E7E96C1" w14:textId="77777777" w:rsidR="00DD39EA" w:rsidRPr="00F66AD1" w:rsidRDefault="00DD39EA" w:rsidP="0039487B">
      <w:pPr>
        <w:pStyle w:val="ListParagraph"/>
        <w:numPr>
          <w:ilvl w:val="0"/>
          <w:numId w:val="37"/>
        </w:numPr>
        <w:spacing w:after="200" w:line="240" w:lineRule="auto"/>
        <w:rPr>
          <w:rFonts w:ascii="Calibri" w:eastAsia="Calibri" w:hAnsi="Calibri" w:cs="Times New Roman"/>
          <w:b w:val="0"/>
          <w:color w:val="auto"/>
          <w:sz w:val="24"/>
          <w:szCs w:val="24"/>
          <w:lang w:val="es-AR"/>
        </w:rPr>
      </w:pPr>
      <w:r w:rsidRPr="00F66AD1">
        <w:rPr>
          <w:rFonts w:ascii="Calibri" w:eastAsia="Calibri" w:hAnsi="Calibri" w:cs="Times New Roman"/>
          <w:b w:val="0"/>
          <w:color w:val="auto"/>
          <w:sz w:val="24"/>
          <w:szCs w:val="24"/>
          <w:lang w:val="es-AR"/>
        </w:rPr>
        <w:t xml:space="preserve">Cuánto más temprano se comience el tratamiento con Hormona de Crecimiento, mejor se evitará el riesgo de escoliosis severa. </w:t>
      </w:r>
    </w:p>
    <w:p w14:paraId="196A399D" w14:textId="77777777" w:rsidR="00DD39EA" w:rsidRPr="00F66AD1" w:rsidRDefault="00DD39EA" w:rsidP="0039487B">
      <w:pPr>
        <w:pStyle w:val="ListParagraph"/>
        <w:numPr>
          <w:ilvl w:val="0"/>
          <w:numId w:val="37"/>
        </w:numPr>
        <w:spacing w:after="200" w:line="240" w:lineRule="auto"/>
        <w:rPr>
          <w:rFonts w:ascii="Calibri" w:eastAsia="Calibri" w:hAnsi="Calibri" w:cs="Times New Roman"/>
          <w:b w:val="0"/>
          <w:color w:val="auto"/>
          <w:sz w:val="24"/>
          <w:szCs w:val="24"/>
          <w:lang w:val="es-AR"/>
        </w:rPr>
      </w:pPr>
      <w:r w:rsidRPr="00F66AD1">
        <w:rPr>
          <w:rFonts w:ascii="Calibri" w:eastAsia="Calibri" w:hAnsi="Calibri" w:cs="Times New Roman"/>
          <w:b w:val="0"/>
          <w:color w:val="auto"/>
          <w:sz w:val="24"/>
          <w:szCs w:val="24"/>
          <w:lang w:val="es-AR"/>
        </w:rPr>
        <w:t xml:space="preserve">El desarrollo de la cadera está retrasado, en simultáneo con otros hitos del desarrollo, el 10% de los niños con SPW presentan displasia de cadera. </w:t>
      </w:r>
    </w:p>
    <w:p w14:paraId="1B310B29" w14:textId="77777777" w:rsidR="00DD39EA" w:rsidRPr="00F66AD1" w:rsidRDefault="00DD39EA" w:rsidP="0039487B">
      <w:pPr>
        <w:pStyle w:val="ListParagraph"/>
        <w:numPr>
          <w:ilvl w:val="0"/>
          <w:numId w:val="37"/>
        </w:numPr>
        <w:spacing w:after="200" w:line="240" w:lineRule="auto"/>
        <w:rPr>
          <w:rFonts w:ascii="Calibri" w:eastAsia="Calibri" w:hAnsi="Calibri" w:cs="Times New Roman"/>
          <w:b w:val="0"/>
          <w:color w:val="auto"/>
          <w:sz w:val="24"/>
          <w:szCs w:val="24"/>
          <w:lang w:val="es-AR"/>
        </w:rPr>
      </w:pPr>
      <w:r w:rsidRPr="00F66AD1">
        <w:rPr>
          <w:rFonts w:ascii="Calibri" w:eastAsia="Calibri" w:hAnsi="Calibri" w:cs="Times New Roman"/>
          <w:b w:val="0"/>
          <w:color w:val="auto"/>
          <w:sz w:val="24"/>
          <w:szCs w:val="24"/>
          <w:lang w:val="es-AR"/>
        </w:rPr>
        <w:t>La displasia de cadera debe ser monitoreada y tratada con aumento de actividad y carga peso, en lugar de apoyos ortopédicos o cirugía, excepto en casos de falta de mejoría con crecimiento o subluxación (cuando la cabeza del fémur está desencajada).</w:t>
      </w:r>
    </w:p>
    <w:p w14:paraId="4385F68A" w14:textId="77777777" w:rsidR="00DD39EA" w:rsidRPr="00F66AD1" w:rsidRDefault="00DD39EA" w:rsidP="0039487B">
      <w:pPr>
        <w:pStyle w:val="ListParagraph"/>
        <w:numPr>
          <w:ilvl w:val="0"/>
          <w:numId w:val="37"/>
        </w:numPr>
        <w:spacing w:after="200" w:line="240" w:lineRule="auto"/>
        <w:rPr>
          <w:rFonts w:ascii="Calibri" w:eastAsia="Times New Roman" w:hAnsi="Calibri" w:cs="Calibri"/>
          <w:b w:val="0"/>
          <w:color w:val="000000"/>
          <w:sz w:val="24"/>
          <w:szCs w:val="24"/>
          <w:lang w:val="es-ES" w:eastAsia="es-AR"/>
        </w:rPr>
      </w:pPr>
      <w:r w:rsidRPr="00F66AD1">
        <w:rPr>
          <w:rFonts w:ascii="Calibri" w:eastAsia="Times New Roman" w:hAnsi="Calibri" w:cs="Calibri"/>
          <w:b w:val="0"/>
          <w:color w:val="000000"/>
          <w:sz w:val="24"/>
          <w:szCs w:val="24"/>
          <w:lang w:val="es-ES" w:eastAsia="es-AR"/>
        </w:rPr>
        <w:t xml:space="preserve">Obtener una radiografía supina </w:t>
      </w:r>
      <w:proofErr w:type="gramStart"/>
      <w:r w:rsidRPr="00F66AD1">
        <w:rPr>
          <w:rFonts w:ascii="Calibri" w:eastAsia="Times New Roman" w:hAnsi="Calibri" w:cs="Calibri"/>
          <w:b w:val="0"/>
          <w:color w:val="000000"/>
          <w:sz w:val="24"/>
          <w:szCs w:val="24"/>
          <w:lang w:val="es-ES" w:eastAsia="es-AR"/>
        </w:rPr>
        <w:t>antero posterior</w:t>
      </w:r>
      <w:proofErr w:type="gramEnd"/>
      <w:r w:rsidRPr="00F66AD1">
        <w:rPr>
          <w:rFonts w:ascii="Calibri" w:eastAsia="Times New Roman" w:hAnsi="Calibri" w:cs="Calibri"/>
          <w:b w:val="0"/>
          <w:color w:val="000000"/>
          <w:sz w:val="24"/>
          <w:szCs w:val="24"/>
          <w:lang w:val="es-ES" w:eastAsia="es-AR"/>
        </w:rPr>
        <w:t xml:space="preserve"> y pelvis de ancas de rana al mismo tiempo que se obtienen las radiografías de detección de la columna vertebral.</w:t>
      </w:r>
    </w:p>
    <w:p w14:paraId="054FF363" w14:textId="77777777" w:rsidR="00DD39EA" w:rsidRPr="00F66AD1" w:rsidRDefault="00DD39EA" w:rsidP="0039487B">
      <w:pPr>
        <w:pStyle w:val="ListParagraph"/>
        <w:numPr>
          <w:ilvl w:val="0"/>
          <w:numId w:val="37"/>
        </w:numPr>
        <w:spacing w:after="200" w:line="240" w:lineRule="auto"/>
        <w:rPr>
          <w:rFonts w:ascii="Calibri" w:eastAsia="Times New Roman" w:hAnsi="Calibri" w:cs="Calibri"/>
          <w:b w:val="0"/>
          <w:color w:val="000000"/>
          <w:sz w:val="24"/>
          <w:szCs w:val="24"/>
          <w:lang w:val="es-ES" w:eastAsia="es-AR"/>
        </w:rPr>
      </w:pPr>
      <w:r w:rsidRPr="00F66AD1">
        <w:rPr>
          <w:rFonts w:ascii="Calibri" w:eastAsia="Times New Roman" w:hAnsi="Calibri" w:cs="Calibri"/>
          <w:b w:val="0"/>
          <w:color w:val="000000"/>
          <w:sz w:val="24"/>
          <w:szCs w:val="24"/>
          <w:lang w:val="es-ES" w:eastAsia="es-AR"/>
        </w:rPr>
        <w:t xml:space="preserve">La mayoría de </w:t>
      </w:r>
      <w:proofErr w:type="gramStart"/>
      <w:r w:rsidRPr="00F66AD1">
        <w:rPr>
          <w:rFonts w:ascii="Calibri" w:eastAsia="Times New Roman" w:hAnsi="Calibri" w:cs="Calibri"/>
          <w:b w:val="0"/>
          <w:color w:val="000000"/>
          <w:sz w:val="24"/>
          <w:szCs w:val="24"/>
          <w:lang w:val="es-ES" w:eastAsia="es-AR"/>
        </w:rPr>
        <w:t>los</w:t>
      </w:r>
      <w:r w:rsidRPr="00F66AD1">
        <w:rPr>
          <w:rFonts w:ascii="Calibri" w:eastAsia="Times New Roman" w:hAnsi="Calibri" w:cs="Calibri"/>
          <w:b w:val="0"/>
          <w:color w:val="222222"/>
          <w:sz w:val="24"/>
          <w:szCs w:val="24"/>
          <w:lang w:val="es-ES" w:eastAsia="es-AR"/>
        </w:rPr>
        <w:t xml:space="preserve">  </w:t>
      </w:r>
      <w:r w:rsidRPr="00F66AD1">
        <w:rPr>
          <w:rFonts w:ascii="Calibri" w:eastAsia="Times New Roman" w:hAnsi="Calibri" w:cs="Calibri"/>
          <w:b w:val="0"/>
          <w:color w:val="000000"/>
          <w:sz w:val="24"/>
          <w:szCs w:val="24"/>
          <w:lang w:val="es-ES" w:eastAsia="es-AR"/>
        </w:rPr>
        <w:t>niños</w:t>
      </w:r>
      <w:proofErr w:type="gramEnd"/>
      <w:r w:rsidRPr="00F66AD1">
        <w:rPr>
          <w:rFonts w:ascii="Calibri" w:eastAsia="Times New Roman" w:hAnsi="Calibri" w:cs="Calibri"/>
          <w:b w:val="0"/>
          <w:color w:val="000000"/>
          <w:sz w:val="24"/>
          <w:szCs w:val="24"/>
          <w:lang w:val="es-ES" w:eastAsia="es-AR"/>
        </w:rPr>
        <w:t xml:space="preserve"> con SPW tendrán pes </w:t>
      </w:r>
      <w:proofErr w:type="spellStart"/>
      <w:r w:rsidRPr="00F66AD1">
        <w:rPr>
          <w:rFonts w:ascii="Calibri" w:eastAsia="Times New Roman" w:hAnsi="Calibri" w:cs="Calibri"/>
          <w:b w:val="0"/>
          <w:color w:val="000000"/>
          <w:sz w:val="24"/>
          <w:szCs w:val="24"/>
          <w:lang w:val="es-ES" w:eastAsia="es-AR"/>
        </w:rPr>
        <w:t>planus</w:t>
      </w:r>
      <w:proofErr w:type="spellEnd"/>
      <w:r w:rsidRPr="00F66AD1">
        <w:rPr>
          <w:rFonts w:ascii="Calibri" w:eastAsia="Times New Roman" w:hAnsi="Calibri" w:cs="Calibri"/>
          <w:b w:val="0"/>
          <w:color w:val="000000"/>
          <w:sz w:val="24"/>
          <w:szCs w:val="24"/>
          <w:lang w:val="es-ES" w:eastAsia="es-AR"/>
        </w:rPr>
        <w:t xml:space="preserve"> (pie plano) hipotónico,  lo que hace un andar deficiente.</w:t>
      </w:r>
    </w:p>
    <w:p w14:paraId="6738DBFA" w14:textId="77777777" w:rsidR="00DD39EA" w:rsidRPr="00F66AD1" w:rsidRDefault="00DD39EA" w:rsidP="0039487B">
      <w:pPr>
        <w:pStyle w:val="ListParagraph"/>
        <w:numPr>
          <w:ilvl w:val="0"/>
          <w:numId w:val="37"/>
        </w:numPr>
        <w:spacing w:after="200" w:line="240" w:lineRule="auto"/>
        <w:rPr>
          <w:rFonts w:ascii="Calibri" w:eastAsia="Times New Roman" w:hAnsi="Calibri" w:cs="Calibri"/>
          <w:b w:val="0"/>
          <w:color w:val="auto"/>
          <w:sz w:val="24"/>
          <w:szCs w:val="24"/>
          <w:lang w:val="es-ES" w:eastAsia="es-AR"/>
        </w:rPr>
      </w:pPr>
      <w:r w:rsidRPr="00F66AD1">
        <w:rPr>
          <w:rFonts w:ascii="Calibri" w:eastAsia="Times New Roman" w:hAnsi="Calibri" w:cs="Calibri"/>
          <w:b w:val="0"/>
          <w:color w:val="auto"/>
          <w:sz w:val="24"/>
          <w:szCs w:val="24"/>
          <w:lang w:val="es-ES" w:eastAsia="es-AR"/>
        </w:rPr>
        <w:t>Las ortesis, ya sea UCBL (</w:t>
      </w:r>
      <w:proofErr w:type="spellStart"/>
      <w:r w:rsidRPr="00F66AD1">
        <w:rPr>
          <w:rFonts w:ascii="Calibri" w:eastAsia="Times New Roman" w:hAnsi="Calibri" w:cs="Calibri"/>
          <w:b w:val="0"/>
          <w:color w:val="auto"/>
          <w:sz w:val="24"/>
          <w:szCs w:val="24"/>
          <w:lang w:val="es-ES" w:eastAsia="es-AR"/>
        </w:rPr>
        <w:t>University</w:t>
      </w:r>
      <w:proofErr w:type="spellEnd"/>
      <w:r w:rsidRPr="00F66AD1">
        <w:rPr>
          <w:rFonts w:ascii="Calibri" w:eastAsia="Times New Roman" w:hAnsi="Calibri" w:cs="Calibri"/>
          <w:b w:val="0"/>
          <w:color w:val="auto"/>
          <w:sz w:val="24"/>
          <w:szCs w:val="24"/>
          <w:lang w:val="es-ES" w:eastAsia="es-AR"/>
        </w:rPr>
        <w:t xml:space="preserve"> </w:t>
      </w:r>
      <w:proofErr w:type="spellStart"/>
      <w:r w:rsidRPr="00F66AD1">
        <w:rPr>
          <w:rFonts w:ascii="Calibri" w:eastAsia="Times New Roman" w:hAnsi="Calibri" w:cs="Calibri"/>
          <w:b w:val="0"/>
          <w:color w:val="auto"/>
          <w:sz w:val="24"/>
          <w:szCs w:val="24"/>
          <w:lang w:val="es-ES" w:eastAsia="es-AR"/>
        </w:rPr>
        <w:t>of</w:t>
      </w:r>
      <w:proofErr w:type="spellEnd"/>
      <w:r w:rsidRPr="00F66AD1">
        <w:rPr>
          <w:rFonts w:ascii="Calibri" w:eastAsia="Times New Roman" w:hAnsi="Calibri" w:cs="Calibri"/>
          <w:b w:val="0"/>
          <w:color w:val="auto"/>
          <w:sz w:val="24"/>
          <w:szCs w:val="24"/>
          <w:lang w:val="es-ES" w:eastAsia="es-AR"/>
        </w:rPr>
        <w:t xml:space="preserve"> California, Berkeley </w:t>
      </w:r>
      <w:proofErr w:type="spellStart"/>
      <w:r w:rsidRPr="00F66AD1">
        <w:rPr>
          <w:rFonts w:ascii="Calibri" w:eastAsia="Times New Roman" w:hAnsi="Calibri" w:cs="Calibri"/>
          <w:b w:val="0"/>
          <w:color w:val="auto"/>
          <w:sz w:val="24"/>
          <w:szCs w:val="24"/>
          <w:lang w:val="es-ES" w:eastAsia="es-AR"/>
        </w:rPr>
        <w:t>Laboratories</w:t>
      </w:r>
      <w:proofErr w:type="spellEnd"/>
      <w:r w:rsidRPr="00F66AD1">
        <w:rPr>
          <w:rFonts w:ascii="Calibri" w:eastAsia="Times New Roman" w:hAnsi="Calibri" w:cs="Calibri"/>
          <w:b w:val="0"/>
          <w:color w:val="auto"/>
          <w:sz w:val="24"/>
          <w:szCs w:val="24"/>
          <w:lang w:val="es-ES" w:eastAsia="es-AR"/>
        </w:rPr>
        <w:t xml:space="preserve">) o SMO (Supra </w:t>
      </w:r>
      <w:proofErr w:type="spellStart"/>
      <w:r w:rsidRPr="00F66AD1">
        <w:rPr>
          <w:rFonts w:ascii="Calibri" w:eastAsia="Times New Roman" w:hAnsi="Calibri" w:cs="Calibri"/>
          <w:b w:val="0"/>
          <w:color w:val="auto"/>
          <w:sz w:val="24"/>
          <w:szCs w:val="24"/>
          <w:lang w:val="es-ES" w:eastAsia="es-AR"/>
        </w:rPr>
        <w:t>Malleolar</w:t>
      </w:r>
      <w:proofErr w:type="spellEnd"/>
      <w:r w:rsidRPr="00F66AD1">
        <w:rPr>
          <w:rFonts w:ascii="Calibri" w:eastAsia="Times New Roman" w:hAnsi="Calibri" w:cs="Calibri"/>
          <w:b w:val="0"/>
          <w:color w:val="auto"/>
          <w:sz w:val="24"/>
          <w:szCs w:val="24"/>
          <w:lang w:val="es-ES" w:eastAsia="es-AR"/>
        </w:rPr>
        <w:t xml:space="preserve"> </w:t>
      </w:r>
      <w:proofErr w:type="spellStart"/>
      <w:r w:rsidRPr="00F66AD1">
        <w:rPr>
          <w:rFonts w:ascii="Calibri" w:eastAsia="Times New Roman" w:hAnsi="Calibri" w:cs="Calibri"/>
          <w:b w:val="0"/>
          <w:color w:val="auto"/>
          <w:sz w:val="24"/>
          <w:szCs w:val="24"/>
          <w:lang w:val="es-ES" w:eastAsia="es-AR"/>
        </w:rPr>
        <w:t>Orthosis</w:t>
      </w:r>
      <w:proofErr w:type="spellEnd"/>
      <w:r w:rsidRPr="00F66AD1">
        <w:rPr>
          <w:rFonts w:ascii="Calibri" w:eastAsia="Times New Roman" w:hAnsi="Calibri" w:cs="Calibri"/>
          <w:b w:val="0"/>
          <w:color w:val="auto"/>
          <w:sz w:val="24"/>
          <w:szCs w:val="24"/>
          <w:lang w:val="es-ES" w:eastAsia="es-AR"/>
        </w:rPr>
        <w:t xml:space="preserve">), serán útiles para el soporte de pies mientras el niño crece. </w:t>
      </w:r>
    </w:p>
    <w:p w14:paraId="522CD508" w14:textId="77777777" w:rsidR="00DD39EA" w:rsidRPr="00DD39EA" w:rsidRDefault="00DD39EA" w:rsidP="0039487B">
      <w:pPr>
        <w:spacing w:after="200" w:line="240" w:lineRule="auto"/>
        <w:rPr>
          <w:rFonts w:ascii="Calibri" w:eastAsia="Calibri" w:hAnsi="Calibri" w:cs="Calibri"/>
          <w:color w:val="000000"/>
          <w:szCs w:val="28"/>
          <w:lang w:val="es-AR"/>
        </w:rPr>
      </w:pPr>
      <w:r w:rsidRPr="00DD39EA">
        <w:rPr>
          <w:rFonts w:ascii="Calibri" w:eastAsia="Calibri" w:hAnsi="Calibri" w:cs="Calibri"/>
          <w:color w:val="000000"/>
          <w:szCs w:val="28"/>
          <w:lang w:val="es-AR"/>
        </w:rPr>
        <w:t xml:space="preserve">Manejo Conductual: </w:t>
      </w:r>
    </w:p>
    <w:p w14:paraId="1CF580C8" w14:textId="77777777" w:rsidR="00DD39EA" w:rsidRPr="00F66AD1" w:rsidRDefault="00DD39EA" w:rsidP="0039487B">
      <w:pPr>
        <w:pStyle w:val="ListParagraph"/>
        <w:numPr>
          <w:ilvl w:val="0"/>
          <w:numId w:val="38"/>
        </w:numPr>
        <w:spacing w:after="200" w:line="240" w:lineRule="auto"/>
        <w:rPr>
          <w:rFonts w:ascii="Calibri" w:eastAsia="Calibri" w:hAnsi="Calibri" w:cs="Calibri"/>
          <w:b w:val="0"/>
          <w:color w:val="000000"/>
          <w:sz w:val="24"/>
          <w:szCs w:val="24"/>
          <w:lang w:val="es-AR"/>
        </w:rPr>
      </w:pPr>
      <w:r w:rsidRPr="00F66AD1">
        <w:rPr>
          <w:rFonts w:ascii="Calibri" w:eastAsia="Calibri" w:hAnsi="Calibri" w:cs="Calibri"/>
          <w:b w:val="0"/>
          <w:color w:val="000000"/>
          <w:sz w:val="24"/>
          <w:szCs w:val="24"/>
          <w:lang w:val="es-AR"/>
        </w:rPr>
        <w:t>Comenzar a poner límites estrictos tempranamente y usar elogios verbales para el comportamiento adecuado.</w:t>
      </w:r>
    </w:p>
    <w:p w14:paraId="115A2937" w14:textId="77777777" w:rsidR="00DD39EA" w:rsidRPr="00F66AD1" w:rsidRDefault="00DD39EA" w:rsidP="0039487B">
      <w:pPr>
        <w:pStyle w:val="ListParagraph"/>
        <w:numPr>
          <w:ilvl w:val="0"/>
          <w:numId w:val="38"/>
        </w:numPr>
        <w:spacing w:after="200" w:line="240" w:lineRule="auto"/>
        <w:rPr>
          <w:rFonts w:ascii="Calibri" w:eastAsia="Calibri" w:hAnsi="Calibri" w:cs="Calibri"/>
          <w:b w:val="0"/>
          <w:color w:val="000000"/>
          <w:sz w:val="24"/>
          <w:szCs w:val="24"/>
          <w:lang w:val="es-AR"/>
        </w:rPr>
      </w:pPr>
      <w:r w:rsidRPr="00F66AD1">
        <w:rPr>
          <w:rFonts w:ascii="Calibri" w:eastAsia="Calibri" w:hAnsi="Calibri" w:cs="Calibri"/>
          <w:b w:val="0"/>
          <w:color w:val="000000"/>
          <w:sz w:val="24"/>
          <w:szCs w:val="24"/>
          <w:lang w:val="es-AR"/>
        </w:rPr>
        <w:t xml:space="preserve">Organizar horarios regulares de alimentación, </w:t>
      </w:r>
      <w:proofErr w:type="gramStart"/>
      <w:r w:rsidRPr="00F66AD1">
        <w:rPr>
          <w:rFonts w:ascii="Calibri" w:eastAsia="Calibri" w:hAnsi="Calibri" w:cs="Calibri"/>
          <w:b w:val="0"/>
          <w:color w:val="000000"/>
          <w:sz w:val="24"/>
          <w:szCs w:val="24"/>
          <w:lang w:val="es-AR"/>
        </w:rPr>
        <w:t>y  comer</w:t>
      </w:r>
      <w:proofErr w:type="gramEnd"/>
      <w:r w:rsidRPr="00F66AD1">
        <w:rPr>
          <w:rFonts w:ascii="Calibri" w:eastAsia="Calibri" w:hAnsi="Calibri" w:cs="Calibri"/>
          <w:b w:val="0"/>
          <w:color w:val="000000"/>
          <w:sz w:val="24"/>
          <w:szCs w:val="24"/>
          <w:lang w:val="es-AR"/>
        </w:rPr>
        <w:t xml:space="preserve"> únicamente en la mesa.</w:t>
      </w:r>
    </w:p>
    <w:p w14:paraId="4AEBCB11" w14:textId="77777777" w:rsidR="00DD39EA" w:rsidRPr="00F66AD1" w:rsidRDefault="00DD39EA" w:rsidP="0039487B">
      <w:pPr>
        <w:pStyle w:val="ListParagraph"/>
        <w:numPr>
          <w:ilvl w:val="0"/>
          <w:numId w:val="38"/>
        </w:numPr>
        <w:spacing w:after="200" w:line="240" w:lineRule="auto"/>
        <w:rPr>
          <w:rFonts w:ascii="Calibri" w:eastAsia="Calibri" w:hAnsi="Calibri" w:cs="Calibri"/>
          <w:b w:val="0"/>
          <w:color w:val="000000"/>
          <w:sz w:val="24"/>
          <w:szCs w:val="24"/>
          <w:lang w:val="es-AR"/>
        </w:rPr>
      </w:pPr>
      <w:r w:rsidRPr="00F66AD1">
        <w:rPr>
          <w:rFonts w:ascii="Calibri" w:eastAsia="Calibri" w:hAnsi="Calibri" w:cs="Calibri"/>
          <w:b w:val="0"/>
          <w:color w:val="000000"/>
          <w:sz w:val="24"/>
          <w:szCs w:val="24"/>
          <w:lang w:val="es-AR"/>
        </w:rPr>
        <w:t xml:space="preserve">No comer de otros platos, ni hacer comidas o snacks fuera de hora. </w:t>
      </w:r>
    </w:p>
    <w:p w14:paraId="16D0705C" w14:textId="77777777" w:rsidR="00DD39EA" w:rsidRPr="00DD39EA" w:rsidRDefault="00DD39EA" w:rsidP="0039487B">
      <w:pPr>
        <w:spacing w:after="200" w:line="240" w:lineRule="auto"/>
        <w:rPr>
          <w:rFonts w:ascii="Calibri" w:eastAsia="Calibri" w:hAnsi="Calibri" w:cs="Calibri"/>
          <w:color w:val="000000"/>
          <w:szCs w:val="28"/>
          <w:lang w:val="es-AR"/>
        </w:rPr>
      </w:pPr>
      <w:r w:rsidRPr="00DD39EA">
        <w:rPr>
          <w:rFonts w:ascii="Calibri" w:eastAsia="Calibri" w:hAnsi="Calibri" w:cs="Calibri"/>
          <w:color w:val="000000"/>
          <w:szCs w:val="28"/>
          <w:lang w:val="es-AR"/>
        </w:rPr>
        <w:t>Rutinas para mantener la salud:</w:t>
      </w:r>
    </w:p>
    <w:p w14:paraId="55733510" w14:textId="77777777" w:rsidR="00DD39EA" w:rsidRPr="009151E6" w:rsidRDefault="00DD39EA" w:rsidP="0039487B">
      <w:pPr>
        <w:pStyle w:val="ListParagraph"/>
        <w:numPr>
          <w:ilvl w:val="0"/>
          <w:numId w:val="39"/>
        </w:numPr>
        <w:spacing w:after="200" w:line="240" w:lineRule="auto"/>
        <w:rPr>
          <w:rFonts w:ascii="Calibri" w:eastAsia="Calibri" w:hAnsi="Calibri" w:cs="Calibri"/>
          <w:b w:val="0"/>
          <w:color w:val="000000"/>
          <w:sz w:val="24"/>
          <w:szCs w:val="24"/>
          <w:lang w:val="es-AR"/>
        </w:rPr>
      </w:pPr>
      <w:r w:rsidRPr="009151E6">
        <w:rPr>
          <w:rFonts w:ascii="Calibri" w:eastAsia="Calibri" w:hAnsi="Calibri" w:cs="Calibri"/>
          <w:b w:val="0"/>
          <w:color w:val="000000"/>
          <w:sz w:val="24"/>
          <w:szCs w:val="24"/>
          <w:lang w:val="es-AR"/>
        </w:rPr>
        <w:t>Mantenimiento de la salud y administración del calendario de vacunas, al igual que todos los niños pequeños.</w:t>
      </w:r>
    </w:p>
    <w:p w14:paraId="3FC79721" w14:textId="77777777" w:rsidR="00DD39EA" w:rsidRPr="009151E6" w:rsidRDefault="00DD39EA" w:rsidP="0039487B">
      <w:pPr>
        <w:pStyle w:val="ListParagraph"/>
        <w:numPr>
          <w:ilvl w:val="0"/>
          <w:numId w:val="39"/>
        </w:numPr>
        <w:spacing w:after="200" w:line="240" w:lineRule="auto"/>
        <w:rPr>
          <w:rFonts w:ascii="Calibri" w:eastAsia="Calibri" w:hAnsi="Calibri" w:cs="Calibri"/>
          <w:b w:val="0"/>
          <w:color w:val="000000"/>
          <w:sz w:val="24"/>
          <w:szCs w:val="24"/>
          <w:lang w:val="es-AR"/>
        </w:rPr>
      </w:pPr>
      <w:r w:rsidRPr="009151E6">
        <w:rPr>
          <w:rFonts w:ascii="Calibri" w:eastAsia="Calibri" w:hAnsi="Calibri" w:cs="Calibri"/>
          <w:b w:val="0"/>
          <w:color w:val="000000"/>
          <w:sz w:val="24"/>
          <w:szCs w:val="24"/>
          <w:lang w:val="es-AR"/>
        </w:rPr>
        <w:t xml:space="preserve">Chequear si hay estrabismo y tratamiento acorde. </w:t>
      </w:r>
    </w:p>
    <w:p w14:paraId="66FDB18A" w14:textId="77777777" w:rsidR="00DD39EA" w:rsidRPr="009151E6" w:rsidRDefault="00DD39EA" w:rsidP="0039487B">
      <w:pPr>
        <w:pStyle w:val="ListParagraph"/>
        <w:numPr>
          <w:ilvl w:val="0"/>
          <w:numId w:val="39"/>
        </w:numPr>
        <w:spacing w:after="200" w:line="240" w:lineRule="auto"/>
        <w:rPr>
          <w:rFonts w:ascii="Calibri" w:eastAsia="Calibri" w:hAnsi="Calibri" w:cs="Calibri"/>
          <w:b w:val="0"/>
          <w:color w:val="000000"/>
          <w:sz w:val="24"/>
          <w:szCs w:val="24"/>
          <w:lang w:val="es-AR"/>
        </w:rPr>
      </w:pPr>
      <w:r w:rsidRPr="009151E6">
        <w:rPr>
          <w:rFonts w:ascii="Calibri" w:eastAsia="Calibri" w:hAnsi="Calibri" w:cs="Calibri"/>
          <w:b w:val="0"/>
          <w:color w:val="000000"/>
          <w:sz w:val="24"/>
          <w:szCs w:val="24"/>
          <w:lang w:val="es-AR"/>
        </w:rPr>
        <w:t xml:space="preserve">Tratamiento con flúor a medida que salgan los dientes. </w:t>
      </w:r>
    </w:p>
    <w:p w14:paraId="2CA833B1" w14:textId="77777777" w:rsidR="00DD39EA" w:rsidRPr="00DD39EA" w:rsidRDefault="00DD39EA" w:rsidP="0039487B">
      <w:pPr>
        <w:spacing w:after="200" w:line="240" w:lineRule="auto"/>
        <w:rPr>
          <w:rFonts w:ascii="Calibri" w:eastAsia="Calibri" w:hAnsi="Calibri" w:cs="Calibri"/>
          <w:color w:val="000000"/>
          <w:szCs w:val="28"/>
          <w:lang w:val="es-AR"/>
        </w:rPr>
      </w:pPr>
      <w:r w:rsidRPr="00DD39EA">
        <w:rPr>
          <w:rFonts w:ascii="Calibri" w:eastAsia="Calibri" w:hAnsi="Calibri" w:cs="Calibri"/>
          <w:color w:val="000000"/>
          <w:szCs w:val="28"/>
          <w:lang w:val="es-AR"/>
        </w:rPr>
        <w:t>Situaciones críticas en SPW:</w:t>
      </w:r>
    </w:p>
    <w:p w14:paraId="4BD3EABC" w14:textId="77777777" w:rsidR="00DD39EA" w:rsidRPr="00DD39EA" w:rsidRDefault="00DD39EA" w:rsidP="0039487B">
      <w:pPr>
        <w:spacing w:after="200" w:line="240" w:lineRule="auto"/>
        <w:rPr>
          <w:rFonts w:ascii="Calibri" w:eastAsia="Calibri" w:hAnsi="Calibri" w:cs="Calibri"/>
          <w:b w:val="0"/>
          <w:color w:val="000000"/>
          <w:sz w:val="24"/>
          <w:szCs w:val="24"/>
          <w:lang w:val="es-AR"/>
        </w:rPr>
      </w:pPr>
      <w:r w:rsidRPr="00DD39EA">
        <w:rPr>
          <w:rFonts w:ascii="Calibri" w:eastAsia="Calibri" w:hAnsi="Calibri" w:cs="Calibri"/>
          <w:b w:val="0"/>
          <w:color w:val="000000"/>
          <w:sz w:val="24"/>
          <w:szCs w:val="24"/>
          <w:lang w:val="es-AR"/>
        </w:rPr>
        <w:t>La mayoría puede tener infecciones (algunas severas) con fiebre.</w:t>
      </w:r>
    </w:p>
    <w:p w14:paraId="1BE11B8B" w14:textId="77777777" w:rsidR="00DD39EA" w:rsidRPr="009151E6" w:rsidRDefault="00DD39EA" w:rsidP="0039487B">
      <w:pPr>
        <w:pStyle w:val="ListParagraph"/>
        <w:numPr>
          <w:ilvl w:val="0"/>
          <w:numId w:val="40"/>
        </w:numPr>
        <w:spacing w:after="200" w:line="240" w:lineRule="auto"/>
        <w:rPr>
          <w:rFonts w:ascii="Calibri" w:eastAsia="Calibri" w:hAnsi="Calibri" w:cs="Calibri"/>
          <w:b w:val="0"/>
          <w:color w:val="000000"/>
          <w:sz w:val="24"/>
          <w:szCs w:val="24"/>
          <w:lang w:val="es-AR"/>
        </w:rPr>
      </w:pPr>
      <w:r w:rsidRPr="009151E6">
        <w:rPr>
          <w:rFonts w:ascii="Calibri" w:eastAsia="Calibri" w:hAnsi="Calibri" w:cs="Calibri"/>
          <w:b w:val="0"/>
          <w:color w:val="000000"/>
          <w:sz w:val="24"/>
          <w:szCs w:val="24"/>
          <w:lang w:val="es-AR"/>
        </w:rPr>
        <w:t xml:space="preserve">Los niños pequeños con SPW pueden tener elevada temperatura corporal especialmente en climas calurosos, sin estar enfermos, pero es recomendable un examen </w:t>
      </w:r>
      <w:proofErr w:type="gramStart"/>
      <w:r w:rsidRPr="009151E6">
        <w:rPr>
          <w:rFonts w:ascii="Calibri" w:eastAsia="Calibri" w:hAnsi="Calibri" w:cs="Calibri"/>
          <w:b w:val="0"/>
          <w:color w:val="000000"/>
          <w:sz w:val="24"/>
          <w:szCs w:val="24"/>
          <w:lang w:val="es-AR"/>
        </w:rPr>
        <w:t>clínico  cuando</w:t>
      </w:r>
      <w:proofErr w:type="gramEnd"/>
      <w:r w:rsidRPr="009151E6">
        <w:rPr>
          <w:rFonts w:ascii="Calibri" w:eastAsia="Calibri" w:hAnsi="Calibri" w:cs="Calibri"/>
          <w:b w:val="0"/>
          <w:color w:val="000000"/>
          <w:sz w:val="24"/>
          <w:szCs w:val="24"/>
          <w:lang w:val="es-AR"/>
        </w:rPr>
        <w:t xml:space="preserve"> la temperatura está elevada. </w:t>
      </w:r>
    </w:p>
    <w:p w14:paraId="25EA76E5" w14:textId="77777777" w:rsidR="00DD39EA" w:rsidRPr="009151E6" w:rsidRDefault="00DD39EA" w:rsidP="0039487B">
      <w:pPr>
        <w:pStyle w:val="ListParagraph"/>
        <w:numPr>
          <w:ilvl w:val="0"/>
          <w:numId w:val="40"/>
        </w:numPr>
        <w:spacing w:after="200" w:line="240" w:lineRule="auto"/>
        <w:rPr>
          <w:rFonts w:ascii="Calibri" w:eastAsia="Calibri" w:hAnsi="Calibri" w:cs="Calibri"/>
          <w:b w:val="0"/>
          <w:color w:val="FF0000"/>
          <w:sz w:val="24"/>
          <w:szCs w:val="24"/>
          <w:lang w:val="es-AR"/>
        </w:rPr>
      </w:pPr>
      <w:r w:rsidRPr="009151E6">
        <w:rPr>
          <w:rFonts w:ascii="Calibri" w:eastAsia="Calibri" w:hAnsi="Calibri" w:cs="Calibri"/>
          <w:b w:val="0"/>
          <w:color w:val="000000"/>
          <w:sz w:val="24"/>
          <w:szCs w:val="24"/>
          <w:lang w:val="es-AR"/>
        </w:rPr>
        <w:t xml:space="preserve">El toser puede ser débil especialmente en niños pequeños y la neumonía puede ser pasada por alto, algunos </w:t>
      </w:r>
      <w:proofErr w:type="gramStart"/>
      <w:r w:rsidRPr="009151E6">
        <w:rPr>
          <w:rFonts w:ascii="Calibri" w:eastAsia="Calibri" w:hAnsi="Calibri" w:cs="Calibri"/>
          <w:b w:val="0"/>
          <w:color w:val="000000"/>
          <w:sz w:val="24"/>
          <w:szCs w:val="24"/>
          <w:lang w:val="es-AR"/>
        </w:rPr>
        <w:t>síntomas  pueden</w:t>
      </w:r>
      <w:proofErr w:type="gramEnd"/>
      <w:r w:rsidRPr="009151E6">
        <w:rPr>
          <w:rFonts w:ascii="Calibri" w:eastAsia="Calibri" w:hAnsi="Calibri" w:cs="Calibri"/>
          <w:b w:val="0"/>
          <w:color w:val="000000"/>
          <w:sz w:val="24"/>
          <w:szCs w:val="24"/>
          <w:lang w:val="es-AR"/>
        </w:rPr>
        <w:t xml:space="preserve"> ser fatiga, falta de apetito y </w:t>
      </w:r>
      <w:r w:rsidRPr="009151E6">
        <w:rPr>
          <w:rFonts w:ascii="Calibri" w:eastAsia="Calibri" w:hAnsi="Calibri" w:cs="Calibri"/>
          <w:b w:val="0"/>
          <w:color w:val="auto"/>
          <w:sz w:val="24"/>
          <w:szCs w:val="24"/>
          <w:lang w:val="es-AR"/>
        </w:rPr>
        <w:t>taquipnea</w:t>
      </w:r>
    </w:p>
    <w:p w14:paraId="2EDFE90A" w14:textId="77777777" w:rsidR="00DD39EA" w:rsidRPr="009151E6" w:rsidRDefault="00DD39EA" w:rsidP="0039487B">
      <w:pPr>
        <w:pStyle w:val="ListParagraph"/>
        <w:numPr>
          <w:ilvl w:val="0"/>
          <w:numId w:val="40"/>
        </w:numPr>
        <w:spacing w:after="200" w:line="240" w:lineRule="auto"/>
        <w:rPr>
          <w:rFonts w:ascii="Calibri" w:eastAsia="Calibri" w:hAnsi="Calibri" w:cs="Calibri"/>
          <w:b w:val="0"/>
          <w:color w:val="000000"/>
          <w:sz w:val="24"/>
          <w:szCs w:val="24"/>
          <w:lang w:val="es-AR"/>
        </w:rPr>
      </w:pPr>
      <w:r w:rsidRPr="009151E6">
        <w:rPr>
          <w:rFonts w:ascii="Calibri" w:eastAsia="Calibri" w:hAnsi="Calibri" w:cs="Calibri"/>
          <w:b w:val="0"/>
          <w:color w:val="000000"/>
          <w:sz w:val="24"/>
          <w:szCs w:val="24"/>
          <w:lang w:val="es-AR"/>
        </w:rPr>
        <w:t>Infecciones de la vía aérea son la causa más común de muertes en pequeños con SPW.</w:t>
      </w:r>
    </w:p>
    <w:p w14:paraId="5EFBE0CC" w14:textId="77777777" w:rsidR="00DD39EA" w:rsidRPr="009151E6" w:rsidRDefault="00DD39EA" w:rsidP="0039487B">
      <w:pPr>
        <w:pStyle w:val="ListParagraph"/>
        <w:numPr>
          <w:ilvl w:val="0"/>
          <w:numId w:val="40"/>
        </w:numPr>
        <w:spacing w:after="200" w:line="240" w:lineRule="auto"/>
        <w:rPr>
          <w:rFonts w:ascii="Calibri" w:eastAsia="Calibri" w:hAnsi="Calibri" w:cs="Calibri"/>
          <w:b w:val="0"/>
          <w:color w:val="000000"/>
          <w:sz w:val="24"/>
          <w:szCs w:val="24"/>
          <w:lang w:val="es-AR"/>
        </w:rPr>
      </w:pPr>
      <w:r w:rsidRPr="009151E6">
        <w:rPr>
          <w:rFonts w:ascii="Calibri" w:eastAsia="Calibri" w:hAnsi="Calibri" w:cs="Calibri"/>
          <w:b w:val="0"/>
          <w:color w:val="000000"/>
          <w:sz w:val="24"/>
          <w:szCs w:val="24"/>
          <w:lang w:val="es-AR"/>
        </w:rPr>
        <w:t xml:space="preserve">La admisión hospitalaria en caso de neumonía en niños con SPW debe garantizar el monitoreo </w:t>
      </w:r>
      <w:proofErr w:type="gramStart"/>
      <w:r w:rsidRPr="009151E6">
        <w:rPr>
          <w:rFonts w:ascii="Calibri" w:eastAsia="Calibri" w:hAnsi="Calibri" w:cs="Calibri"/>
          <w:b w:val="0"/>
          <w:color w:val="000000"/>
          <w:sz w:val="24"/>
          <w:szCs w:val="24"/>
          <w:lang w:val="es-AR"/>
        </w:rPr>
        <w:t>de  la</w:t>
      </w:r>
      <w:proofErr w:type="gramEnd"/>
      <w:r w:rsidRPr="009151E6">
        <w:rPr>
          <w:rFonts w:ascii="Calibri" w:eastAsia="Calibri" w:hAnsi="Calibri" w:cs="Calibri"/>
          <w:b w:val="0"/>
          <w:color w:val="000000"/>
          <w:sz w:val="24"/>
          <w:szCs w:val="24"/>
          <w:lang w:val="es-AR"/>
        </w:rPr>
        <w:t xml:space="preserve"> saturación de oxígeno y el riesgo de apneas prolongadas. </w:t>
      </w:r>
    </w:p>
    <w:p w14:paraId="7FEBECD7" w14:textId="77777777" w:rsidR="00DD39EA" w:rsidRPr="009151E6" w:rsidRDefault="00DD39EA" w:rsidP="0039487B">
      <w:pPr>
        <w:pStyle w:val="ListParagraph"/>
        <w:numPr>
          <w:ilvl w:val="0"/>
          <w:numId w:val="40"/>
        </w:numPr>
        <w:spacing w:after="200" w:line="240" w:lineRule="auto"/>
        <w:rPr>
          <w:rFonts w:ascii="Calibri" w:eastAsia="Calibri" w:hAnsi="Calibri" w:cs="Calibri"/>
          <w:b w:val="0"/>
          <w:color w:val="000000"/>
          <w:sz w:val="24"/>
          <w:szCs w:val="24"/>
          <w:lang w:val="es-AR"/>
        </w:rPr>
      </w:pPr>
      <w:r w:rsidRPr="009151E6">
        <w:rPr>
          <w:rFonts w:ascii="Calibri" w:eastAsia="Calibri" w:hAnsi="Calibri" w:cs="Calibri"/>
          <w:b w:val="0"/>
          <w:color w:val="000000"/>
          <w:sz w:val="24"/>
          <w:szCs w:val="24"/>
          <w:lang w:val="es-AR"/>
        </w:rPr>
        <w:t xml:space="preserve">La mayoría de los niños con SPW son incapaces de vomitar cuando tienen infección gastrointestinal. El tubo naso gástrico en estos casos suele salvar vidas. </w:t>
      </w:r>
    </w:p>
    <w:p w14:paraId="18E9E22E" w14:textId="77777777" w:rsidR="00DD39EA" w:rsidRPr="009151E6" w:rsidRDefault="00DD39EA" w:rsidP="0039487B">
      <w:pPr>
        <w:pStyle w:val="ListParagraph"/>
        <w:numPr>
          <w:ilvl w:val="0"/>
          <w:numId w:val="40"/>
        </w:numPr>
        <w:spacing w:after="200" w:line="240" w:lineRule="auto"/>
        <w:rPr>
          <w:rFonts w:ascii="Calibri" w:eastAsia="Calibri" w:hAnsi="Calibri" w:cs="Calibri"/>
          <w:b w:val="0"/>
          <w:color w:val="000000"/>
          <w:sz w:val="24"/>
          <w:szCs w:val="24"/>
          <w:lang w:val="es-AR"/>
        </w:rPr>
      </w:pPr>
      <w:r w:rsidRPr="009151E6">
        <w:rPr>
          <w:rFonts w:ascii="Calibri" w:eastAsia="Calibri" w:hAnsi="Calibri" w:cs="Calibri"/>
          <w:b w:val="0"/>
          <w:color w:val="000000"/>
          <w:sz w:val="24"/>
          <w:szCs w:val="24"/>
          <w:lang w:val="es-AR"/>
        </w:rPr>
        <w:t>Los individuos con SPW suelen tener el vaciado gástrico lento y el umbral del dolor elevado. Por lo tanto, cualquier episodio de vómito o dolor abdominal debe ser tomado en serio y evaluado por un médico.</w:t>
      </w:r>
    </w:p>
    <w:p w14:paraId="5F96ABBE" w14:textId="77777777" w:rsidR="00DD39EA" w:rsidRPr="009151E6" w:rsidRDefault="00DD39EA" w:rsidP="0039487B">
      <w:pPr>
        <w:pStyle w:val="ListParagraph"/>
        <w:numPr>
          <w:ilvl w:val="0"/>
          <w:numId w:val="40"/>
        </w:numPr>
        <w:spacing w:after="200" w:line="240" w:lineRule="auto"/>
        <w:rPr>
          <w:rFonts w:ascii="Calibri" w:eastAsia="Calibri" w:hAnsi="Calibri" w:cs="Calibri"/>
          <w:b w:val="0"/>
          <w:color w:val="000000"/>
          <w:sz w:val="24"/>
          <w:szCs w:val="24"/>
          <w:lang w:val="es-AR"/>
        </w:rPr>
      </w:pPr>
      <w:r w:rsidRPr="009151E6">
        <w:rPr>
          <w:rFonts w:ascii="Calibri" w:eastAsia="Calibri" w:hAnsi="Calibri" w:cs="Calibri"/>
          <w:b w:val="0"/>
          <w:color w:val="000000"/>
          <w:sz w:val="24"/>
          <w:szCs w:val="24"/>
          <w:lang w:val="es-AR"/>
        </w:rPr>
        <w:t>Los niños más grandes, suelen tener riesgo de atracones que devienen en distensión severa y necrosis gástrica.</w:t>
      </w:r>
    </w:p>
    <w:p w14:paraId="3247783C" w14:textId="77777777" w:rsidR="00DD39EA" w:rsidRPr="009151E6" w:rsidRDefault="00DD39EA" w:rsidP="0039487B">
      <w:pPr>
        <w:pStyle w:val="ListParagraph"/>
        <w:numPr>
          <w:ilvl w:val="0"/>
          <w:numId w:val="40"/>
        </w:numPr>
        <w:spacing w:after="200" w:line="240" w:lineRule="auto"/>
        <w:rPr>
          <w:rFonts w:ascii="Calibri" w:eastAsia="Calibri" w:hAnsi="Calibri" w:cs="Calibri"/>
          <w:b w:val="0"/>
          <w:color w:val="000000"/>
          <w:sz w:val="24"/>
          <w:szCs w:val="24"/>
          <w:lang w:val="es-AR"/>
        </w:rPr>
      </w:pPr>
      <w:r w:rsidRPr="009151E6">
        <w:rPr>
          <w:rFonts w:ascii="Calibri" w:eastAsia="Calibri" w:hAnsi="Calibri" w:cs="Calibri"/>
          <w:b w:val="0"/>
          <w:color w:val="000000"/>
          <w:sz w:val="24"/>
          <w:szCs w:val="24"/>
          <w:lang w:val="es-AR"/>
        </w:rPr>
        <w:t xml:space="preserve">Los signos y síntomas de enfermedad serán más sutiles que en cualquier niño en etapa de desarrollo, los padres pueden colaborar siendo útiles informantes cuando sus hijos no se están actuando de modo esperable. </w:t>
      </w:r>
    </w:p>
    <w:p w14:paraId="71414519" w14:textId="77777777" w:rsidR="00DD39EA" w:rsidRPr="00DD39EA" w:rsidRDefault="00DD39EA" w:rsidP="0039487B">
      <w:pPr>
        <w:spacing w:after="200" w:line="240" w:lineRule="auto"/>
        <w:rPr>
          <w:rFonts w:ascii="Calibri" w:eastAsia="Calibri" w:hAnsi="Calibri" w:cs="Calibri"/>
          <w:color w:val="000000"/>
          <w:szCs w:val="28"/>
          <w:lang w:val="es-AR"/>
        </w:rPr>
      </w:pPr>
      <w:r w:rsidRPr="00DD39EA">
        <w:rPr>
          <w:rFonts w:ascii="Calibri" w:eastAsia="Calibri" w:hAnsi="Calibri" w:cs="Calibri"/>
          <w:color w:val="000000"/>
          <w:szCs w:val="28"/>
          <w:lang w:val="es-AR"/>
        </w:rPr>
        <w:t xml:space="preserve">Observaciones generales: </w:t>
      </w:r>
    </w:p>
    <w:p w14:paraId="7004BE4D" w14:textId="77777777" w:rsidR="00DD39EA" w:rsidRPr="00DD39EA" w:rsidRDefault="00DD39EA" w:rsidP="0039487B">
      <w:pPr>
        <w:spacing w:after="200" w:line="240" w:lineRule="auto"/>
        <w:rPr>
          <w:rFonts w:ascii="Calibri" w:eastAsia="Calibri" w:hAnsi="Calibri" w:cs="Calibri"/>
          <w:b w:val="0"/>
          <w:color w:val="000000"/>
          <w:sz w:val="24"/>
          <w:szCs w:val="24"/>
          <w:lang w:val="es-AR"/>
        </w:rPr>
      </w:pPr>
      <w:r w:rsidRPr="00DD39EA">
        <w:rPr>
          <w:rFonts w:ascii="Calibri" w:eastAsia="Calibri" w:hAnsi="Calibri" w:cs="Calibri"/>
          <w:b w:val="0"/>
          <w:color w:val="000000"/>
          <w:sz w:val="24"/>
          <w:szCs w:val="24"/>
          <w:lang w:val="es-AR"/>
        </w:rPr>
        <w:t>Este documento está diseñado para direccionar los problemas médicos típicos que se encuentran en los bebés o niños pequeños con SPW, en un esfuerzo para reducir serias complicaciones y mejorar la calidad de vida.</w:t>
      </w:r>
    </w:p>
    <w:p w14:paraId="0105714F" w14:textId="77777777" w:rsidR="00DD39EA" w:rsidRPr="00DD39EA" w:rsidRDefault="00DD39EA" w:rsidP="0039487B">
      <w:pPr>
        <w:spacing w:after="200" w:line="240" w:lineRule="auto"/>
        <w:rPr>
          <w:rFonts w:ascii="Calibri" w:eastAsia="Calibri" w:hAnsi="Calibri" w:cs="Calibri"/>
          <w:b w:val="0"/>
          <w:color w:val="000000"/>
          <w:sz w:val="24"/>
          <w:szCs w:val="24"/>
          <w:lang w:val="es-AR"/>
        </w:rPr>
      </w:pPr>
      <w:r w:rsidRPr="00DD39EA">
        <w:rPr>
          <w:rFonts w:ascii="Calibri" w:eastAsia="Calibri" w:hAnsi="Calibri" w:cs="Calibri"/>
          <w:b w:val="0"/>
          <w:color w:val="000000"/>
          <w:sz w:val="24"/>
          <w:szCs w:val="24"/>
          <w:lang w:val="es-AR"/>
        </w:rPr>
        <w:t xml:space="preserve">El SPW se debe a la ausencia de la información genética </w:t>
      </w:r>
      <w:proofErr w:type="gramStart"/>
      <w:r w:rsidRPr="00DD39EA">
        <w:rPr>
          <w:rFonts w:ascii="Calibri" w:eastAsia="Calibri" w:hAnsi="Calibri" w:cs="Calibri"/>
          <w:b w:val="0"/>
          <w:color w:val="000000"/>
          <w:sz w:val="24"/>
          <w:szCs w:val="24"/>
          <w:lang w:val="es-AR"/>
        </w:rPr>
        <w:t>heredada  en</w:t>
      </w:r>
      <w:proofErr w:type="gramEnd"/>
      <w:r w:rsidRPr="00DD39EA">
        <w:rPr>
          <w:rFonts w:ascii="Calibri" w:eastAsia="Calibri" w:hAnsi="Calibri" w:cs="Calibri"/>
          <w:b w:val="0"/>
          <w:color w:val="000000"/>
          <w:sz w:val="24"/>
          <w:szCs w:val="24"/>
          <w:lang w:val="es-AR"/>
        </w:rPr>
        <w:t xml:space="preserve"> el cromosoma 15q11.2-q13 debido a tres mecanismos genéticos: deleción, disomía </w:t>
      </w:r>
      <w:proofErr w:type="spellStart"/>
      <w:r w:rsidRPr="00DD39EA">
        <w:rPr>
          <w:rFonts w:ascii="Calibri" w:eastAsia="Calibri" w:hAnsi="Calibri" w:cs="Calibri"/>
          <w:b w:val="0"/>
          <w:color w:val="000000"/>
          <w:sz w:val="24"/>
          <w:szCs w:val="24"/>
          <w:lang w:val="es-AR"/>
        </w:rPr>
        <w:t>uniparental</w:t>
      </w:r>
      <w:proofErr w:type="spellEnd"/>
      <w:r w:rsidRPr="00DD39EA">
        <w:rPr>
          <w:rFonts w:ascii="Calibri" w:eastAsia="Calibri" w:hAnsi="Calibri" w:cs="Calibri"/>
          <w:b w:val="0"/>
          <w:color w:val="000000"/>
          <w:sz w:val="24"/>
          <w:szCs w:val="24"/>
          <w:lang w:val="es-AR"/>
        </w:rPr>
        <w:t xml:space="preserve"> materna o falla de </w:t>
      </w:r>
      <w:proofErr w:type="spellStart"/>
      <w:r w:rsidRPr="00DD39EA">
        <w:rPr>
          <w:rFonts w:ascii="Calibri" w:eastAsia="Calibri" w:hAnsi="Calibri" w:cs="Calibri"/>
          <w:b w:val="0"/>
          <w:color w:val="000000"/>
          <w:sz w:val="24"/>
          <w:szCs w:val="24"/>
          <w:lang w:val="es-AR"/>
        </w:rPr>
        <w:t>imprinting</w:t>
      </w:r>
      <w:proofErr w:type="spellEnd"/>
      <w:r w:rsidRPr="00DD39EA">
        <w:rPr>
          <w:rFonts w:ascii="Calibri" w:eastAsia="Calibri" w:hAnsi="Calibri" w:cs="Calibri"/>
          <w:b w:val="0"/>
          <w:color w:val="000000"/>
          <w:sz w:val="24"/>
          <w:szCs w:val="24"/>
          <w:lang w:val="es-AR"/>
        </w:rPr>
        <w:t xml:space="preserve">.  Este último, puede ser asociado con un riesgo familiar recurrente. Es altamente recomendable, que el diagnóstico clínico sea confirmado mediante un estudio genético. Otras condiciones pueden solaparse en signos y síntomas del SPW. </w:t>
      </w:r>
      <w:proofErr w:type="gramStart"/>
      <w:r w:rsidRPr="00DD39EA">
        <w:rPr>
          <w:rFonts w:ascii="Calibri" w:eastAsia="Calibri" w:hAnsi="Calibri" w:cs="Calibri"/>
          <w:b w:val="0"/>
          <w:color w:val="000000"/>
          <w:sz w:val="24"/>
          <w:szCs w:val="24"/>
          <w:lang w:val="es-AR"/>
        </w:rPr>
        <w:t>Un test</w:t>
      </w:r>
      <w:proofErr w:type="gramEnd"/>
      <w:r w:rsidRPr="00DD39EA">
        <w:rPr>
          <w:rFonts w:ascii="Calibri" w:eastAsia="Calibri" w:hAnsi="Calibri" w:cs="Calibri"/>
          <w:b w:val="0"/>
          <w:color w:val="000000"/>
          <w:sz w:val="24"/>
          <w:szCs w:val="24"/>
          <w:lang w:val="es-AR"/>
        </w:rPr>
        <w:t xml:space="preserve"> de metilación confirma el diagnóstico en un 99% de los casos, pero no provee el genotipo específico.  Un médico genetista puede ordenar </w:t>
      </w:r>
      <w:proofErr w:type="gramStart"/>
      <w:r w:rsidRPr="00DD39EA">
        <w:rPr>
          <w:rFonts w:ascii="Calibri" w:eastAsia="Calibri" w:hAnsi="Calibri" w:cs="Calibri"/>
          <w:b w:val="0"/>
          <w:color w:val="000000"/>
          <w:sz w:val="24"/>
          <w:szCs w:val="24"/>
          <w:lang w:val="es-AR"/>
        </w:rPr>
        <w:t>el test</w:t>
      </w:r>
      <w:proofErr w:type="gramEnd"/>
      <w:r w:rsidRPr="00DD39EA">
        <w:rPr>
          <w:rFonts w:ascii="Calibri" w:eastAsia="Calibri" w:hAnsi="Calibri" w:cs="Calibri"/>
          <w:b w:val="0"/>
          <w:color w:val="000000"/>
          <w:sz w:val="24"/>
          <w:szCs w:val="24"/>
          <w:lang w:val="es-AR"/>
        </w:rPr>
        <w:t xml:space="preserve"> genético apropiado para determinar el genotipo específico. La IPWSO puede brindar asistencia y fuentes de información para el estudio.</w:t>
      </w:r>
    </w:p>
    <w:p w14:paraId="48D89560" w14:textId="77777777" w:rsidR="00DD39EA" w:rsidRPr="00DD39EA" w:rsidRDefault="00DD39EA" w:rsidP="0039487B">
      <w:pPr>
        <w:spacing w:after="200" w:line="240" w:lineRule="auto"/>
        <w:rPr>
          <w:rFonts w:ascii="Calibri" w:eastAsia="Calibri" w:hAnsi="Calibri" w:cs="Calibri"/>
          <w:b w:val="0"/>
          <w:color w:val="000000"/>
          <w:sz w:val="24"/>
          <w:szCs w:val="24"/>
          <w:lang w:val="es-AR"/>
        </w:rPr>
      </w:pPr>
      <w:r w:rsidRPr="00DD39EA">
        <w:rPr>
          <w:rFonts w:ascii="Calibri" w:eastAsia="Calibri" w:hAnsi="Calibri" w:cs="Calibri"/>
          <w:b w:val="0"/>
          <w:color w:val="000000"/>
          <w:sz w:val="24"/>
          <w:szCs w:val="24"/>
          <w:lang w:val="es-AR"/>
        </w:rPr>
        <w:t xml:space="preserve">Por favor, revisar tanto la información médica como el resto de la información, la cual fue escrita por una audiencia civil, en la Asociación Internacional del Síndrome de Prader-Willi (IPWSO) cuyo </w:t>
      </w:r>
      <w:proofErr w:type="spellStart"/>
      <w:r w:rsidRPr="00DD39EA">
        <w:rPr>
          <w:rFonts w:ascii="Calibri" w:eastAsia="Calibri" w:hAnsi="Calibri" w:cs="Calibri"/>
          <w:b w:val="0"/>
          <w:color w:val="000000"/>
          <w:sz w:val="24"/>
          <w:szCs w:val="24"/>
          <w:lang w:val="es-AR"/>
        </w:rPr>
        <w:t>website</w:t>
      </w:r>
      <w:proofErr w:type="spellEnd"/>
      <w:r w:rsidRPr="00DD39EA">
        <w:rPr>
          <w:rFonts w:ascii="Calibri" w:eastAsia="Calibri" w:hAnsi="Calibri" w:cs="Calibri"/>
          <w:b w:val="0"/>
          <w:color w:val="000000"/>
          <w:sz w:val="24"/>
          <w:szCs w:val="24"/>
          <w:lang w:val="es-AR"/>
        </w:rPr>
        <w:t xml:space="preserve"> incluye información sobre organización de soporte </w:t>
      </w:r>
      <w:proofErr w:type="gramStart"/>
      <w:r w:rsidRPr="00DD39EA">
        <w:rPr>
          <w:rFonts w:ascii="Calibri" w:eastAsia="Calibri" w:hAnsi="Calibri" w:cs="Calibri"/>
          <w:b w:val="0"/>
          <w:color w:val="000000"/>
          <w:sz w:val="24"/>
          <w:szCs w:val="24"/>
          <w:lang w:val="es-AR"/>
        </w:rPr>
        <w:t>a las familiar</w:t>
      </w:r>
      <w:proofErr w:type="gramEnd"/>
      <w:r w:rsidRPr="00DD39EA">
        <w:rPr>
          <w:rFonts w:ascii="Calibri" w:eastAsia="Calibri" w:hAnsi="Calibri" w:cs="Calibri"/>
          <w:b w:val="0"/>
          <w:color w:val="000000"/>
          <w:sz w:val="24"/>
          <w:szCs w:val="24"/>
          <w:lang w:val="es-AR"/>
        </w:rPr>
        <w:t xml:space="preserve"> alrededor de 100 países: </w:t>
      </w:r>
      <w:hyperlink r:id="rId15" w:history="1">
        <w:r w:rsidRPr="00DD39EA">
          <w:rPr>
            <w:rFonts w:ascii="Calibri" w:eastAsia="Calibri" w:hAnsi="Calibri" w:cs="Calibri"/>
            <w:b w:val="0"/>
            <w:color w:val="0000FF"/>
            <w:sz w:val="24"/>
            <w:szCs w:val="24"/>
            <w:u w:val="single"/>
            <w:lang w:val="es-AR"/>
          </w:rPr>
          <w:t>http://www.ipwso.org</w:t>
        </w:r>
      </w:hyperlink>
      <w:r w:rsidRPr="00DD39EA">
        <w:rPr>
          <w:rFonts w:ascii="Calibri" w:eastAsia="Calibri" w:hAnsi="Calibri" w:cs="Calibri"/>
          <w:b w:val="0"/>
          <w:color w:val="000000"/>
          <w:sz w:val="24"/>
          <w:szCs w:val="24"/>
          <w:lang w:val="es-AR"/>
        </w:rPr>
        <w:t>.</w:t>
      </w:r>
    </w:p>
    <w:p w14:paraId="39809EEF" w14:textId="07CEE47F" w:rsidR="00DD39EA" w:rsidRPr="00DD39EA" w:rsidRDefault="00DD39EA" w:rsidP="0039487B">
      <w:pPr>
        <w:spacing w:after="200" w:line="240" w:lineRule="auto"/>
        <w:rPr>
          <w:rFonts w:ascii="Calibri" w:eastAsia="Calibri" w:hAnsi="Calibri" w:cs="Calibri"/>
          <w:b w:val="0"/>
          <w:color w:val="000000"/>
          <w:sz w:val="20"/>
          <w:szCs w:val="20"/>
          <w:lang w:val="es-AR"/>
        </w:rPr>
      </w:pPr>
      <w:r w:rsidRPr="00DD39EA">
        <w:rPr>
          <w:rFonts w:ascii="Calibri" w:eastAsia="Calibri" w:hAnsi="Calibri" w:cs="Calibri"/>
          <w:b w:val="0"/>
          <w:color w:val="000000"/>
          <w:sz w:val="20"/>
          <w:szCs w:val="20"/>
          <w:lang w:val="es-AR"/>
        </w:rPr>
        <w:t xml:space="preserve">Fuentes detalladas de información sobre SPW: </w:t>
      </w:r>
      <w:r w:rsidR="00213919">
        <w:rPr>
          <w:rFonts w:ascii="Calibri" w:eastAsia="Calibri" w:hAnsi="Calibri" w:cs="Calibri"/>
          <w:b w:val="0"/>
          <w:color w:val="000000"/>
          <w:sz w:val="20"/>
          <w:szCs w:val="20"/>
          <w:lang w:val="es-AR"/>
        </w:rPr>
        <w:br/>
      </w:r>
      <w:r w:rsidRPr="00DD39EA">
        <w:rPr>
          <w:rFonts w:ascii="Calibri" w:eastAsia="Calibri" w:hAnsi="Calibri" w:cs="Calibri"/>
          <w:color w:val="000000"/>
          <w:sz w:val="20"/>
          <w:szCs w:val="20"/>
          <w:lang w:val="es-AR"/>
        </w:rPr>
        <w:t>Pediátricos:</w:t>
      </w:r>
      <w:r w:rsidRPr="00DD39EA">
        <w:rPr>
          <w:rFonts w:ascii="Calibri" w:eastAsia="Calibri" w:hAnsi="Calibri" w:cs="Calibri"/>
          <w:b w:val="0"/>
          <w:color w:val="000000"/>
          <w:sz w:val="20"/>
          <w:szCs w:val="20"/>
          <w:lang w:val="es-AR"/>
        </w:rPr>
        <w:t xml:space="preserve"> </w:t>
      </w:r>
      <w:hyperlink r:id="rId16" w:history="1">
        <w:r w:rsidRPr="00DD39EA">
          <w:rPr>
            <w:rFonts w:ascii="Calibri" w:eastAsia="Calibri" w:hAnsi="Calibri" w:cs="Calibri"/>
            <w:b w:val="0"/>
            <w:color w:val="0000FF"/>
            <w:sz w:val="20"/>
            <w:szCs w:val="20"/>
            <w:u w:val="single"/>
            <w:lang w:val="es-AR"/>
          </w:rPr>
          <w:t>www.pediatrics.org/cgi/doi/10.1542/peds.2010-2820</w:t>
        </w:r>
      </w:hyperlink>
      <w:r w:rsidR="00213919">
        <w:rPr>
          <w:rFonts w:ascii="Calibri" w:eastAsia="Calibri" w:hAnsi="Calibri" w:cs="Calibri"/>
          <w:b w:val="0"/>
          <w:color w:val="000000"/>
          <w:sz w:val="20"/>
          <w:szCs w:val="20"/>
          <w:lang w:val="es-AR"/>
        </w:rPr>
        <w:br/>
      </w:r>
      <w:r w:rsidRPr="00DD39EA">
        <w:rPr>
          <w:rFonts w:ascii="Calibri" w:eastAsia="Calibri" w:hAnsi="Calibri" w:cs="Calibri"/>
          <w:color w:val="000000"/>
          <w:sz w:val="20"/>
          <w:szCs w:val="20"/>
          <w:lang w:val="es-AR"/>
        </w:rPr>
        <w:t>Revisiones Genéticas</w:t>
      </w:r>
      <w:r w:rsidRPr="00DD39EA">
        <w:rPr>
          <w:rFonts w:ascii="Calibri" w:eastAsia="Calibri" w:hAnsi="Calibri" w:cs="Calibri"/>
          <w:b w:val="0"/>
          <w:color w:val="000000"/>
          <w:sz w:val="20"/>
          <w:szCs w:val="20"/>
          <w:lang w:val="es-AR"/>
        </w:rPr>
        <w:t xml:space="preserve">: </w:t>
      </w:r>
      <w:hyperlink r:id="rId17" w:history="1">
        <w:r w:rsidRPr="00DD39EA">
          <w:rPr>
            <w:rFonts w:ascii="Calibri" w:eastAsia="Calibri" w:hAnsi="Calibri" w:cs="Calibri"/>
            <w:b w:val="0"/>
            <w:color w:val="0000FF"/>
            <w:sz w:val="20"/>
            <w:szCs w:val="20"/>
            <w:u w:val="single"/>
            <w:lang w:val="es-AR"/>
          </w:rPr>
          <w:t>https://www.ncbi.nlm.nih.gov/books/NBK1330/</w:t>
        </w:r>
      </w:hyperlink>
      <w:r w:rsidR="00213919">
        <w:rPr>
          <w:rFonts w:ascii="Calibri" w:eastAsia="Calibri" w:hAnsi="Calibri" w:cs="Calibri"/>
          <w:b w:val="0"/>
          <w:color w:val="000000"/>
          <w:sz w:val="20"/>
          <w:szCs w:val="20"/>
          <w:lang w:val="es-AR"/>
        </w:rPr>
        <w:br/>
      </w:r>
      <w:r w:rsidRPr="00DD39EA">
        <w:rPr>
          <w:rFonts w:ascii="Calibri" w:eastAsia="Calibri" w:hAnsi="Calibri" w:cs="Calibri"/>
          <w:color w:val="000000"/>
          <w:sz w:val="20"/>
          <w:szCs w:val="20"/>
          <w:lang w:val="es-AR"/>
        </w:rPr>
        <w:t xml:space="preserve">PWSA (USA) Medical </w:t>
      </w:r>
      <w:proofErr w:type="spellStart"/>
      <w:r w:rsidRPr="00DD39EA">
        <w:rPr>
          <w:rFonts w:ascii="Calibri" w:eastAsia="Calibri" w:hAnsi="Calibri" w:cs="Calibri"/>
          <w:color w:val="000000"/>
          <w:sz w:val="20"/>
          <w:szCs w:val="20"/>
          <w:lang w:val="es-AR"/>
        </w:rPr>
        <w:t>Alert</w:t>
      </w:r>
      <w:proofErr w:type="spellEnd"/>
      <w:r w:rsidRPr="00DD39EA">
        <w:rPr>
          <w:rFonts w:ascii="Calibri" w:eastAsia="Calibri" w:hAnsi="Calibri" w:cs="Calibri"/>
          <w:color w:val="000000"/>
          <w:sz w:val="20"/>
          <w:szCs w:val="20"/>
          <w:lang w:val="es-AR"/>
        </w:rPr>
        <w:t xml:space="preserve"> </w:t>
      </w:r>
      <w:proofErr w:type="spellStart"/>
      <w:r w:rsidRPr="00DD39EA">
        <w:rPr>
          <w:rFonts w:ascii="Calibri" w:eastAsia="Calibri" w:hAnsi="Calibri" w:cs="Calibri"/>
          <w:color w:val="000000"/>
          <w:sz w:val="20"/>
          <w:szCs w:val="20"/>
          <w:lang w:val="es-AR"/>
        </w:rPr>
        <w:t>Booklet</w:t>
      </w:r>
      <w:proofErr w:type="spellEnd"/>
      <w:r w:rsidRPr="00DD39EA">
        <w:rPr>
          <w:rFonts w:ascii="Calibri" w:eastAsia="Calibri" w:hAnsi="Calibri" w:cs="Calibri"/>
          <w:color w:val="000000"/>
          <w:sz w:val="20"/>
          <w:szCs w:val="20"/>
          <w:lang w:val="es-AR"/>
        </w:rPr>
        <w:t>:</w:t>
      </w:r>
      <w:r w:rsidR="00213919">
        <w:rPr>
          <w:rFonts w:ascii="Calibri" w:eastAsia="Calibri" w:hAnsi="Calibri" w:cs="Calibri"/>
          <w:color w:val="000000"/>
          <w:sz w:val="20"/>
          <w:szCs w:val="20"/>
          <w:lang w:val="es-AR"/>
        </w:rPr>
        <w:t xml:space="preserve"> </w:t>
      </w:r>
      <w:hyperlink r:id="rId18" w:history="1">
        <w:r w:rsidRPr="00DD39EA">
          <w:rPr>
            <w:rFonts w:ascii="Calibri" w:eastAsia="Calibri" w:hAnsi="Calibri" w:cs="Calibri"/>
            <w:b w:val="0"/>
            <w:color w:val="0000FF"/>
            <w:sz w:val="20"/>
            <w:szCs w:val="20"/>
            <w:u w:val="single"/>
            <w:lang w:val="es-AR"/>
          </w:rPr>
          <w:t>https://www.pwsausa.org/wp-content/uploads/2015/11/newMAbookfinal.pdf</w:t>
        </w:r>
      </w:hyperlink>
    </w:p>
    <w:p w14:paraId="014CF680" w14:textId="46256218" w:rsidR="004628CC" w:rsidRDefault="00490285" w:rsidP="00490285">
      <w:pPr>
        <w:widowControl w:val="0"/>
        <w:shd w:val="clear" w:color="auto" w:fill="FFFFFF"/>
        <w:suppressAutoHyphens/>
        <w:jc w:val="center"/>
        <w:rPr>
          <w:rFonts w:eastAsia="SimSun" w:cstheme="minorHAnsi"/>
          <w:b w:val="0"/>
          <w:bCs/>
          <w:color w:val="000000"/>
          <w:kern w:val="2"/>
          <w:sz w:val="24"/>
          <w:szCs w:val="24"/>
          <w:lang w:eastAsia="hi-IN" w:bidi="hi-IN"/>
        </w:rPr>
      </w:pPr>
      <w:r>
        <w:rPr>
          <w:rFonts w:eastAsia="SimSun" w:cstheme="minorHAnsi"/>
          <w:b w:val="0"/>
          <w:bCs/>
          <w:noProof/>
          <w:color w:val="000000"/>
          <w:kern w:val="2"/>
          <w:sz w:val="24"/>
          <w:szCs w:val="24"/>
        </w:rPr>
        <w:drawing>
          <wp:inline distT="0" distB="0" distL="0" distR="0" wp14:anchorId="6A3C31D1" wp14:editId="501DD283">
            <wp:extent cx="1059180" cy="70612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PWSO_logo_2018_res300.jpg"/>
                    <pic:cNvPicPr/>
                  </pic:nvPicPr>
                  <pic:blipFill>
                    <a:blip r:embed="rId11">
                      <a:extLst>
                        <a:ext uri="{28A0092B-C50C-407E-A947-70E740481C1C}">
                          <a14:useLocalDpi xmlns:a14="http://schemas.microsoft.com/office/drawing/2010/main" val="0"/>
                        </a:ext>
                      </a:extLst>
                    </a:blip>
                    <a:stretch>
                      <a:fillRect/>
                    </a:stretch>
                  </pic:blipFill>
                  <pic:spPr>
                    <a:xfrm>
                      <a:off x="0" y="0"/>
                      <a:ext cx="1059758" cy="706505"/>
                    </a:xfrm>
                    <a:prstGeom prst="rect">
                      <a:avLst/>
                    </a:prstGeom>
                  </pic:spPr>
                </pic:pic>
              </a:graphicData>
            </a:graphic>
          </wp:inline>
        </w:drawing>
      </w:r>
    </w:p>
    <w:p w14:paraId="2A9721E3" w14:textId="1060D600" w:rsidR="004628CC" w:rsidRPr="00E06115" w:rsidRDefault="002D2750" w:rsidP="004628CC">
      <w:pPr>
        <w:widowControl w:val="0"/>
        <w:shd w:val="clear" w:color="auto" w:fill="FFFFFF"/>
        <w:suppressAutoHyphens/>
        <w:jc w:val="center"/>
        <w:rPr>
          <w:rFonts w:eastAsia="SimSun" w:cstheme="minorHAnsi"/>
          <w:b w:val="0"/>
          <w:bCs/>
          <w:color w:val="000000"/>
          <w:kern w:val="2"/>
          <w:sz w:val="18"/>
          <w:szCs w:val="18"/>
          <w:lang w:eastAsia="hi-IN" w:bidi="hi-IN"/>
        </w:rPr>
      </w:pPr>
      <w:r>
        <w:rPr>
          <w:rFonts w:eastAsia="SimSun" w:cstheme="minorHAnsi"/>
          <w:b w:val="0"/>
          <w:bCs/>
          <w:color w:val="000000"/>
          <w:kern w:val="2"/>
          <w:sz w:val="18"/>
          <w:szCs w:val="18"/>
          <w:lang w:eastAsia="hi-IN" w:bidi="hi-IN"/>
        </w:rPr>
        <w:t>Registere</w:t>
      </w:r>
      <w:r w:rsidR="00377190">
        <w:rPr>
          <w:rFonts w:eastAsia="SimSun" w:cstheme="minorHAnsi"/>
          <w:b w:val="0"/>
          <w:bCs/>
          <w:color w:val="000000"/>
          <w:kern w:val="2"/>
          <w:sz w:val="18"/>
          <w:szCs w:val="18"/>
          <w:lang w:eastAsia="hi-IN" w:bidi="hi-IN"/>
        </w:rPr>
        <w:t>d</w:t>
      </w:r>
      <w:r>
        <w:rPr>
          <w:rFonts w:eastAsia="SimSun" w:cstheme="minorHAnsi"/>
          <w:b w:val="0"/>
          <w:bCs/>
          <w:color w:val="000000"/>
          <w:kern w:val="2"/>
          <w:sz w:val="18"/>
          <w:szCs w:val="18"/>
          <w:lang w:eastAsia="hi-IN" w:bidi="hi-IN"/>
        </w:rPr>
        <w:t xml:space="preserve"> Charity 118</w:t>
      </w:r>
      <w:r w:rsidR="00377190">
        <w:rPr>
          <w:rFonts w:eastAsia="SimSun" w:cstheme="minorHAnsi"/>
          <w:b w:val="0"/>
          <w:bCs/>
          <w:color w:val="000000"/>
          <w:kern w:val="2"/>
          <w:sz w:val="18"/>
          <w:szCs w:val="18"/>
          <w:lang w:eastAsia="hi-IN" w:bidi="hi-IN"/>
        </w:rPr>
        <w:t>2873</w:t>
      </w:r>
      <w:r w:rsidR="004628CC" w:rsidRPr="00E06115">
        <w:rPr>
          <w:rFonts w:eastAsia="SimSun" w:cstheme="minorHAnsi"/>
          <w:b w:val="0"/>
          <w:bCs/>
          <w:color w:val="000000"/>
          <w:kern w:val="2"/>
          <w:sz w:val="18"/>
          <w:szCs w:val="18"/>
          <w:lang w:eastAsia="hi-IN" w:bidi="hi-IN"/>
        </w:rPr>
        <w:t>Office: Douglas House, 18b Trumpington Road, Cambridge, CB2 8AH, UK</w:t>
      </w:r>
    </w:p>
    <w:p w14:paraId="591E38E8" w14:textId="3A52CA09" w:rsidR="004628CC" w:rsidRPr="00380C2D" w:rsidRDefault="0017078C" w:rsidP="001C0603">
      <w:pPr>
        <w:widowControl w:val="0"/>
        <w:shd w:val="clear" w:color="auto" w:fill="FFFFFF"/>
        <w:suppressAutoHyphens/>
        <w:jc w:val="center"/>
        <w:rPr>
          <w:rFonts w:eastAsia="SimSun" w:cstheme="minorHAnsi"/>
          <w:b w:val="0"/>
          <w:bCs/>
          <w:color w:val="000000"/>
          <w:kern w:val="2"/>
          <w:sz w:val="24"/>
          <w:szCs w:val="24"/>
          <w:lang w:eastAsia="hi-IN" w:bidi="hi-IN"/>
        </w:rPr>
      </w:pPr>
      <w:hyperlink r:id="rId19" w:history="1">
        <w:r w:rsidR="004628CC" w:rsidRPr="00E06115">
          <w:rPr>
            <w:rStyle w:val="Hyperlink"/>
            <w:rFonts w:eastAsia="SimSun" w:cstheme="minorHAnsi"/>
            <w:b w:val="0"/>
            <w:bCs/>
            <w:kern w:val="2"/>
            <w:sz w:val="18"/>
            <w:szCs w:val="18"/>
            <w:lang w:eastAsia="hi-IN" w:bidi="hi-IN"/>
          </w:rPr>
          <w:t>office@ipwso.org</w:t>
        </w:r>
      </w:hyperlink>
      <w:r w:rsidR="004628CC" w:rsidRPr="00E06115">
        <w:rPr>
          <w:rFonts w:eastAsia="SimSun" w:cstheme="minorHAnsi"/>
          <w:b w:val="0"/>
          <w:bCs/>
          <w:color w:val="000000"/>
          <w:kern w:val="2"/>
          <w:sz w:val="18"/>
          <w:szCs w:val="18"/>
          <w:lang w:eastAsia="hi-IN" w:bidi="hi-IN"/>
        </w:rPr>
        <w:t xml:space="preserve">   </w:t>
      </w:r>
      <w:hyperlink r:id="rId20" w:history="1">
        <w:r w:rsidR="004628CC" w:rsidRPr="00E06115">
          <w:rPr>
            <w:rStyle w:val="Hyperlink"/>
            <w:rFonts w:eastAsia="SimSun" w:cstheme="minorHAnsi"/>
            <w:b w:val="0"/>
            <w:bCs/>
            <w:kern w:val="2"/>
            <w:sz w:val="18"/>
            <w:szCs w:val="18"/>
            <w:lang w:eastAsia="hi-IN" w:bidi="hi-IN"/>
          </w:rPr>
          <w:t>www.ipwso.org</w:t>
        </w:r>
      </w:hyperlink>
      <w:r w:rsidR="004628CC" w:rsidRPr="00E06115">
        <w:rPr>
          <w:rFonts w:eastAsia="SimSun" w:cstheme="minorHAnsi"/>
          <w:b w:val="0"/>
          <w:bCs/>
          <w:color w:val="000000"/>
          <w:kern w:val="2"/>
          <w:sz w:val="18"/>
          <w:szCs w:val="18"/>
          <w:lang w:eastAsia="hi-IN" w:bidi="hi-IN"/>
        </w:rPr>
        <w:t xml:space="preserve">  </w:t>
      </w:r>
      <w:bookmarkStart w:id="1" w:name="_GoBack"/>
      <w:bookmarkEnd w:id="1"/>
    </w:p>
    <w:sectPr w:rsidR="004628CC" w:rsidRPr="00380C2D" w:rsidSect="00DF027C">
      <w:headerReference w:type="default" r:id="rId21"/>
      <w:footerReference w:type="default" r:id="rId22"/>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445D56" w14:textId="77777777" w:rsidR="000466C8" w:rsidRDefault="000466C8">
      <w:r>
        <w:separator/>
      </w:r>
    </w:p>
    <w:p w14:paraId="59BD6842" w14:textId="77777777" w:rsidR="000466C8" w:rsidRDefault="000466C8"/>
  </w:endnote>
  <w:endnote w:type="continuationSeparator" w:id="0">
    <w:p w14:paraId="38D2C244" w14:textId="77777777" w:rsidR="000466C8" w:rsidRDefault="000466C8">
      <w:r>
        <w:continuationSeparator/>
      </w:r>
    </w:p>
    <w:p w14:paraId="0873787B" w14:textId="77777777" w:rsidR="000466C8" w:rsidRDefault="000466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748919"/>
      <w:docPartObj>
        <w:docPartGallery w:val="Page Numbers (Bottom of Page)"/>
        <w:docPartUnique/>
      </w:docPartObj>
    </w:sdtPr>
    <w:sdtEndPr>
      <w:rPr>
        <w:noProof/>
      </w:rPr>
    </w:sdtEndPr>
    <w:sdtContent>
      <w:p w14:paraId="4C5980B8" w14:textId="1376E357" w:rsidR="00DF027C" w:rsidRDefault="00DF027C">
        <w:pPr>
          <w:pStyle w:val="Footer"/>
          <w:jc w:val="center"/>
        </w:pPr>
        <w:r>
          <w:fldChar w:fldCharType="begin"/>
        </w:r>
        <w:r>
          <w:instrText xml:space="preserve"> PAGE   \* MERGEFORMAT </w:instrText>
        </w:r>
        <w:r>
          <w:fldChar w:fldCharType="separate"/>
        </w:r>
        <w:r w:rsidR="004628CC">
          <w:rPr>
            <w:noProof/>
          </w:rPr>
          <w:t>4</w:t>
        </w:r>
        <w:r>
          <w:rPr>
            <w:noProof/>
          </w:rPr>
          <w:fldChar w:fldCharType="end"/>
        </w:r>
      </w:p>
    </w:sdtContent>
  </w:sdt>
  <w:p w14:paraId="20ABF9F3"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E27E53" w14:textId="77777777" w:rsidR="000466C8" w:rsidRDefault="000466C8">
      <w:r>
        <w:separator/>
      </w:r>
    </w:p>
    <w:p w14:paraId="561514C9" w14:textId="77777777" w:rsidR="000466C8" w:rsidRDefault="000466C8"/>
  </w:footnote>
  <w:footnote w:type="continuationSeparator" w:id="0">
    <w:p w14:paraId="6F491A4E" w14:textId="77777777" w:rsidR="000466C8" w:rsidRDefault="000466C8">
      <w:r>
        <w:continuationSeparator/>
      </w:r>
    </w:p>
    <w:p w14:paraId="6283088A" w14:textId="77777777" w:rsidR="000466C8" w:rsidRDefault="000466C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678133D1" w14:textId="77777777" w:rsidTr="00D077E9">
      <w:trPr>
        <w:trHeight w:val="978"/>
      </w:trPr>
      <w:tc>
        <w:tcPr>
          <w:tcW w:w="9990" w:type="dxa"/>
          <w:tcBorders>
            <w:top w:val="nil"/>
            <w:left w:val="nil"/>
            <w:bottom w:val="single" w:sz="36" w:space="0" w:color="34ABA2" w:themeColor="accent3"/>
            <w:right w:val="nil"/>
          </w:tcBorders>
        </w:tcPr>
        <w:p w14:paraId="776E8F6D" w14:textId="77777777" w:rsidR="00D077E9" w:rsidRDefault="00D077E9">
          <w:pPr>
            <w:pStyle w:val="Header"/>
          </w:pPr>
        </w:p>
      </w:tc>
    </w:tr>
  </w:tbl>
  <w:p w14:paraId="62ADD66E"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84E68"/>
    <w:multiLevelType w:val="hybridMultilevel"/>
    <w:tmpl w:val="7BB200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5C64E8"/>
    <w:multiLevelType w:val="hybridMultilevel"/>
    <w:tmpl w:val="BC5A3CB0"/>
    <w:lvl w:ilvl="0" w:tplc="04090001">
      <w:start w:val="1"/>
      <w:numFmt w:val="bullet"/>
      <w:lvlText w:val=""/>
      <w:lvlJc w:val="left"/>
      <w:pPr>
        <w:ind w:left="360" w:hanging="360"/>
      </w:pPr>
      <w:rPr>
        <w:rFonts w:ascii="Symbol" w:hAnsi="Symbol" w:hint="default"/>
      </w:rPr>
    </w:lvl>
    <w:lvl w:ilvl="1" w:tplc="D2708DB8">
      <w:start w:val="1"/>
      <w:numFmt w:val="bullet"/>
      <w:lvlText w:val="─"/>
      <w:lvlJc w:val="left"/>
      <w:pPr>
        <w:ind w:left="1080" w:hanging="360"/>
      </w:pPr>
      <w:rPr>
        <w:rFonts w:ascii="Calibri" w:hAnsi="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CB3FB9"/>
    <w:multiLevelType w:val="hybridMultilevel"/>
    <w:tmpl w:val="D6E6DE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8B66CE9"/>
    <w:multiLevelType w:val="hybridMultilevel"/>
    <w:tmpl w:val="F2CC38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A4E16A6"/>
    <w:multiLevelType w:val="hybridMultilevel"/>
    <w:tmpl w:val="375C3E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BF14F1E"/>
    <w:multiLevelType w:val="hybridMultilevel"/>
    <w:tmpl w:val="079091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2F62A33"/>
    <w:multiLevelType w:val="hybridMultilevel"/>
    <w:tmpl w:val="229053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7763BAB"/>
    <w:multiLevelType w:val="hybridMultilevel"/>
    <w:tmpl w:val="B4E8AAA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7DD22E8"/>
    <w:multiLevelType w:val="hybridMultilevel"/>
    <w:tmpl w:val="C7861B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BE9682B"/>
    <w:multiLevelType w:val="hybridMultilevel"/>
    <w:tmpl w:val="26A607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C331141"/>
    <w:multiLevelType w:val="hybridMultilevel"/>
    <w:tmpl w:val="19E83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2636316"/>
    <w:multiLevelType w:val="hybridMultilevel"/>
    <w:tmpl w:val="010ED0DE"/>
    <w:lvl w:ilvl="0" w:tplc="A75CEAB2">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8312519"/>
    <w:multiLevelType w:val="hybridMultilevel"/>
    <w:tmpl w:val="EEB07D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2B616AEB"/>
    <w:multiLevelType w:val="hybridMultilevel"/>
    <w:tmpl w:val="1A4C1900"/>
    <w:lvl w:ilvl="0" w:tplc="9AE4BE50">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EC32E90"/>
    <w:multiLevelType w:val="hybridMultilevel"/>
    <w:tmpl w:val="03FA01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F447705"/>
    <w:multiLevelType w:val="hybridMultilevel"/>
    <w:tmpl w:val="A7002A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F4C296C"/>
    <w:multiLevelType w:val="hybridMultilevel"/>
    <w:tmpl w:val="7F9851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34C39EF"/>
    <w:multiLevelType w:val="hybridMultilevel"/>
    <w:tmpl w:val="A2D8AA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3B97015"/>
    <w:multiLevelType w:val="hybridMultilevel"/>
    <w:tmpl w:val="FDDCA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5E37F18"/>
    <w:multiLevelType w:val="hybridMultilevel"/>
    <w:tmpl w:val="0478D1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9995D19"/>
    <w:multiLevelType w:val="hybridMultilevel"/>
    <w:tmpl w:val="B6C8CE5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EDA0512"/>
    <w:multiLevelType w:val="hybridMultilevel"/>
    <w:tmpl w:val="623069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640550E"/>
    <w:multiLevelType w:val="hybridMultilevel"/>
    <w:tmpl w:val="743ECB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84B3BE1"/>
    <w:multiLevelType w:val="hybridMultilevel"/>
    <w:tmpl w:val="C1EC0F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9E50A51"/>
    <w:multiLevelType w:val="hybridMultilevel"/>
    <w:tmpl w:val="FA867EE2"/>
    <w:lvl w:ilvl="0" w:tplc="7A5C8F9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B4852C9"/>
    <w:multiLevelType w:val="hybridMultilevel"/>
    <w:tmpl w:val="462803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4E2A798D"/>
    <w:multiLevelType w:val="hybridMultilevel"/>
    <w:tmpl w:val="B8A63C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56C5654"/>
    <w:multiLevelType w:val="hybridMultilevel"/>
    <w:tmpl w:val="4E86D9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DC21672"/>
    <w:multiLevelType w:val="hybridMultilevel"/>
    <w:tmpl w:val="96826F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6639749A"/>
    <w:multiLevelType w:val="hybridMultilevel"/>
    <w:tmpl w:val="273456DE"/>
    <w:lvl w:ilvl="0" w:tplc="04090001">
      <w:start w:val="1"/>
      <w:numFmt w:val="bullet"/>
      <w:lvlText w:val=""/>
      <w:lvlJc w:val="left"/>
      <w:pPr>
        <w:ind w:left="360" w:hanging="360"/>
      </w:pPr>
      <w:rPr>
        <w:rFonts w:ascii="Symbol" w:hAnsi="Symbol" w:hint="default"/>
      </w:rPr>
    </w:lvl>
    <w:lvl w:ilvl="1" w:tplc="D2708DB8">
      <w:start w:val="1"/>
      <w:numFmt w:val="bullet"/>
      <w:lvlText w:val="─"/>
      <w:lvlJc w:val="left"/>
      <w:pPr>
        <w:ind w:left="1080" w:hanging="360"/>
      </w:pPr>
      <w:rPr>
        <w:rFonts w:ascii="Calibri" w:hAnsi="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A674968"/>
    <w:multiLevelType w:val="hybridMultilevel"/>
    <w:tmpl w:val="D53030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A7C77CD"/>
    <w:multiLevelType w:val="hybridMultilevel"/>
    <w:tmpl w:val="867A75B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CE31B27"/>
    <w:multiLevelType w:val="hybridMultilevel"/>
    <w:tmpl w:val="BB2AD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1550B59"/>
    <w:multiLevelType w:val="hybridMultilevel"/>
    <w:tmpl w:val="EA4E5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6050216"/>
    <w:multiLevelType w:val="hybridMultilevel"/>
    <w:tmpl w:val="55A2AA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62E0CE4"/>
    <w:multiLevelType w:val="hybridMultilevel"/>
    <w:tmpl w:val="85B853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7321C30"/>
    <w:multiLevelType w:val="hybridMultilevel"/>
    <w:tmpl w:val="84228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CBF079F"/>
    <w:multiLevelType w:val="hybridMultilevel"/>
    <w:tmpl w:val="198A4B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D6313B6"/>
    <w:multiLevelType w:val="hybridMultilevel"/>
    <w:tmpl w:val="BC1CFB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EF42FF1"/>
    <w:multiLevelType w:val="hybridMultilevel"/>
    <w:tmpl w:val="6548E5E2"/>
    <w:lvl w:ilvl="0" w:tplc="A4DAEACC">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F955404"/>
    <w:multiLevelType w:val="hybridMultilevel"/>
    <w:tmpl w:val="C74AE4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8"/>
  </w:num>
  <w:num w:numId="2">
    <w:abstractNumId w:val="19"/>
  </w:num>
  <w:num w:numId="3">
    <w:abstractNumId w:val="2"/>
  </w:num>
  <w:num w:numId="4">
    <w:abstractNumId w:val="34"/>
  </w:num>
  <w:num w:numId="5">
    <w:abstractNumId w:val="17"/>
  </w:num>
  <w:num w:numId="6">
    <w:abstractNumId w:val="26"/>
  </w:num>
  <w:num w:numId="7">
    <w:abstractNumId w:val="15"/>
  </w:num>
  <w:num w:numId="8">
    <w:abstractNumId w:val="12"/>
  </w:num>
  <w:num w:numId="9">
    <w:abstractNumId w:val="33"/>
  </w:num>
  <w:num w:numId="10">
    <w:abstractNumId w:val="31"/>
  </w:num>
  <w:num w:numId="11">
    <w:abstractNumId w:val="6"/>
  </w:num>
  <w:num w:numId="12">
    <w:abstractNumId w:val="23"/>
  </w:num>
  <w:num w:numId="13">
    <w:abstractNumId w:val="4"/>
  </w:num>
  <w:num w:numId="14">
    <w:abstractNumId w:val="22"/>
  </w:num>
  <w:num w:numId="15">
    <w:abstractNumId w:val="14"/>
  </w:num>
  <w:num w:numId="16">
    <w:abstractNumId w:val="18"/>
  </w:num>
  <w:num w:numId="17">
    <w:abstractNumId w:val="36"/>
  </w:num>
  <w:num w:numId="18">
    <w:abstractNumId w:val="37"/>
  </w:num>
  <w:num w:numId="19">
    <w:abstractNumId w:val="32"/>
  </w:num>
  <w:num w:numId="20">
    <w:abstractNumId w:val="25"/>
  </w:num>
  <w:num w:numId="21">
    <w:abstractNumId w:val="30"/>
  </w:num>
  <w:num w:numId="22">
    <w:abstractNumId w:val="24"/>
  </w:num>
  <w:num w:numId="23">
    <w:abstractNumId w:val="11"/>
  </w:num>
  <w:num w:numId="24">
    <w:abstractNumId w:val="29"/>
  </w:num>
  <w:num w:numId="25">
    <w:abstractNumId w:val="1"/>
  </w:num>
  <w:num w:numId="26">
    <w:abstractNumId w:val="21"/>
  </w:num>
  <w:num w:numId="27">
    <w:abstractNumId w:val="8"/>
  </w:num>
  <w:num w:numId="28">
    <w:abstractNumId w:val="9"/>
  </w:num>
  <w:num w:numId="29">
    <w:abstractNumId w:val="10"/>
  </w:num>
  <w:num w:numId="30">
    <w:abstractNumId w:val="20"/>
  </w:num>
  <w:num w:numId="31">
    <w:abstractNumId w:val="13"/>
  </w:num>
  <w:num w:numId="32">
    <w:abstractNumId w:val="7"/>
  </w:num>
  <w:num w:numId="33">
    <w:abstractNumId w:val="5"/>
  </w:num>
  <w:num w:numId="34">
    <w:abstractNumId w:val="40"/>
  </w:num>
  <w:num w:numId="35">
    <w:abstractNumId w:val="16"/>
  </w:num>
  <w:num w:numId="36">
    <w:abstractNumId w:val="27"/>
  </w:num>
  <w:num w:numId="37">
    <w:abstractNumId w:val="35"/>
  </w:num>
  <w:num w:numId="38">
    <w:abstractNumId w:val="3"/>
  </w:num>
  <w:num w:numId="39">
    <w:abstractNumId w:val="38"/>
  </w:num>
  <w:num w:numId="40">
    <w:abstractNumId w:val="39"/>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20"/>
  <w:displayHorizontalDrawingGridEvery w:val="2"/>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D98"/>
    <w:rsid w:val="00021796"/>
    <w:rsid w:val="0002482E"/>
    <w:rsid w:val="000466C8"/>
    <w:rsid w:val="00050324"/>
    <w:rsid w:val="000A0150"/>
    <w:rsid w:val="000A24EA"/>
    <w:rsid w:val="000A7C9B"/>
    <w:rsid w:val="000E63C9"/>
    <w:rsid w:val="00130E9D"/>
    <w:rsid w:val="00150A6D"/>
    <w:rsid w:val="00165D89"/>
    <w:rsid w:val="0017078C"/>
    <w:rsid w:val="00185B35"/>
    <w:rsid w:val="001C0603"/>
    <w:rsid w:val="001F2BC8"/>
    <w:rsid w:val="001F4EC8"/>
    <w:rsid w:val="001F5F6B"/>
    <w:rsid w:val="00213919"/>
    <w:rsid w:val="00243EBC"/>
    <w:rsid w:val="00246A35"/>
    <w:rsid w:val="00284348"/>
    <w:rsid w:val="002C48A1"/>
    <w:rsid w:val="002D21C5"/>
    <w:rsid w:val="002D2750"/>
    <w:rsid w:val="002F51F5"/>
    <w:rsid w:val="00307E25"/>
    <w:rsid w:val="00312137"/>
    <w:rsid w:val="00330359"/>
    <w:rsid w:val="0033762F"/>
    <w:rsid w:val="00366C7E"/>
    <w:rsid w:val="00377190"/>
    <w:rsid w:val="00380C2D"/>
    <w:rsid w:val="00384EA3"/>
    <w:rsid w:val="0039487B"/>
    <w:rsid w:val="003A39A1"/>
    <w:rsid w:val="003C2191"/>
    <w:rsid w:val="003D3863"/>
    <w:rsid w:val="003E32EE"/>
    <w:rsid w:val="004110DE"/>
    <w:rsid w:val="0044085A"/>
    <w:rsid w:val="00443AE8"/>
    <w:rsid w:val="004628CC"/>
    <w:rsid w:val="004643CE"/>
    <w:rsid w:val="00490285"/>
    <w:rsid w:val="004B21A5"/>
    <w:rsid w:val="005037F0"/>
    <w:rsid w:val="00516A86"/>
    <w:rsid w:val="005275F6"/>
    <w:rsid w:val="00572102"/>
    <w:rsid w:val="005C0B88"/>
    <w:rsid w:val="005F1BB0"/>
    <w:rsid w:val="00626BB1"/>
    <w:rsid w:val="00656C4D"/>
    <w:rsid w:val="00697F8C"/>
    <w:rsid w:val="006E5716"/>
    <w:rsid w:val="006F7146"/>
    <w:rsid w:val="007302B3"/>
    <w:rsid w:val="00730733"/>
    <w:rsid w:val="00730E3A"/>
    <w:rsid w:val="00736AAF"/>
    <w:rsid w:val="00765B2A"/>
    <w:rsid w:val="00783A34"/>
    <w:rsid w:val="0079506B"/>
    <w:rsid w:val="007C6B52"/>
    <w:rsid w:val="007D16C5"/>
    <w:rsid w:val="007D2EC6"/>
    <w:rsid w:val="00801F67"/>
    <w:rsid w:val="00862FE4"/>
    <w:rsid w:val="0086389A"/>
    <w:rsid w:val="00865811"/>
    <w:rsid w:val="0087605E"/>
    <w:rsid w:val="008979E9"/>
    <w:rsid w:val="008B1FEE"/>
    <w:rsid w:val="008D22B3"/>
    <w:rsid w:val="00900542"/>
    <w:rsid w:val="00903C32"/>
    <w:rsid w:val="009151E6"/>
    <w:rsid w:val="00916B16"/>
    <w:rsid w:val="009173B9"/>
    <w:rsid w:val="0093335D"/>
    <w:rsid w:val="0093613E"/>
    <w:rsid w:val="0094116E"/>
    <w:rsid w:val="00943026"/>
    <w:rsid w:val="00966B81"/>
    <w:rsid w:val="00992185"/>
    <w:rsid w:val="009B1D98"/>
    <w:rsid w:val="009C7720"/>
    <w:rsid w:val="00A23AFA"/>
    <w:rsid w:val="00A31B3E"/>
    <w:rsid w:val="00A532F3"/>
    <w:rsid w:val="00A8489E"/>
    <w:rsid w:val="00AC29F3"/>
    <w:rsid w:val="00AE2FE8"/>
    <w:rsid w:val="00B231E5"/>
    <w:rsid w:val="00BA07AF"/>
    <w:rsid w:val="00BF0B1E"/>
    <w:rsid w:val="00C02B87"/>
    <w:rsid w:val="00C4086D"/>
    <w:rsid w:val="00CA1896"/>
    <w:rsid w:val="00CA33D8"/>
    <w:rsid w:val="00CB5B28"/>
    <w:rsid w:val="00CF5371"/>
    <w:rsid w:val="00D0323A"/>
    <w:rsid w:val="00D0559F"/>
    <w:rsid w:val="00D077E9"/>
    <w:rsid w:val="00D32120"/>
    <w:rsid w:val="00D42CB7"/>
    <w:rsid w:val="00D5413D"/>
    <w:rsid w:val="00D570A9"/>
    <w:rsid w:val="00D70D02"/>
    <w:rsid w:val="00D770C7"/>
    <w:rsid w:val="00D86945"/>
    <w:rsid w:val="00D90290"/>
    <w:rsid w:val="00D906DF"/>
    <w:rsid w:val="00DD152F"/>
    <w:rsid w:val="00DD39EA"/>
    <w:rsid w:val="00DE213F"/>
    <w:rsid w:val="00DF027C"/>
    <w:rsid w:val="00E00A32"/>
    <w:rsid w:val="00E06115"/>
    <w:rsid w:val="00E22ACD"/>
    <w:rsid w:val="00E620B0"/>
    <w:rsid w:val="00E81B40"/>
    <w:rsid w:val="00EB10B9"/>
    <w:rsid w:val="00EF555B"/>
    <w:rsid w:val="00F027BB"/>
    <w:rsid w:val="00F11DCF"/>
    <w:rsid w:val="00F162EA"/>
    <w:rsid w:val="00F52D27"/>
    <w:rsid w:val="00F66AD1"/>
    <w:rsid w:val="00F83527"/>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8F81BF5"/>
  <w15:docId w15:val="{2DBFFCD7-E6C7-4D92-A544-4FFB070EC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D39EA"/>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styleId="Hyperlink">
    <w:name w:val="Hyperlink"/>
    <w:basedOn w:val="DefaultParagraphFont"/>
    <w:uiPriority w:val="99"/>
    <w:unhideWhenUsed/>
    <w:rsid w:val="00380C2D"/>
    <w:rPr>
      <w:color w:val="3592CF" w:themeColor="hyperlink"/>
      <w:u w:val="single"/>
    </w:rPr>
  </w:style>
  <w:style w:type="character" w:customStyle="1" w:styleId="UnresolvedMention1">
    <w:name w:val="Unresolved Mention1"/>
    <w:basedOn w:val="DefaultParagraphFont"/>
    <w:uiPriority w:val="99"/>
    <w:semiHidden/>
    <w:unhideWhenUsed/>
    <w:rsid w:val="00380C2D"/>
    <w:rPr>
      <w:color w:val="605E5C"/>
      <w:shd w:val="clear" w:color="auto" w:fill="E1DFDD"/>
    </w:rPr>
  </w:style>
  <w:style w:type="paragraph" w:styleId="ListParagraph">
    <w:name w:val="List Paragraph"/>
    <w:basedOn w:val="Normal"/>
    <w:uiPriority w:val="34"/>
    <w:unhideWhenUsed/>
    <w:qFormat/>
    <w:rsid w:val="00380C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pwsausa.org/wp-content/uploads/2015/11/newMAbookfinal.pdf"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ncbi.nlm.nih.gov/books/NBK1330/" TargetMode="External"/><Relationship Id="rId2" Type="http://schemas.openxmlformats.org/officeDocument/2006/relationships/customXml" Target="../customXml/item2.xml"/><Relationship Id="rId16" Type="http://schemas.openxmlformats.org/officeDocument/2006/relationships/hyperlink" Target="http://www.pediatrics.org/cgi/doi/10.1542/peds.2010-2820" TargetMode="External"/><Relationship Id="rId20" Type="http://schemas.openxmlformats.org/officeDocument/2006/relationships/hyperlink" Target="http://www.ipwso.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ipwso.org" TargetMode="Externa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office@ipwso.org"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ncbi.nlm.nih.gov/books/NBK1330/"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da\AppData\Roaming\Microsoft\Templates\Report%20.dotx" TargetMode="External"/></Relationship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Dan Driscoll, MD</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F15FB2-4C87-4621-8E46-78EEABB59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1</TotalTime>
  <Pages>8</Pages>
  <Words>2662</Words>
  <Characters>15174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dc:creator>
  <cp:keywords/>
  <cp:lastModifiedBy>Linda Thornton</cp:lastModifiedBy>
  <cp:revision>2</cp:revision>
  <cp:lastPrinted>2006-08-01T17:47:00Z</cp:lastPrinted>
  <dcterms:created xsi:type="dcterms:W3CDTF">2019-10-25T20:46:00Z</dcterms:created>
  <dcterms:modified xsi:type="dcterms:W3CDTF">2019-10-25T20:46:00Z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